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EFE8" w14:textId="072648E0" w:rsidR="00A437B1" w:rsidRPr="000860B8" w:rsidRDefault="00A027F0" w:rsidP="000860B8">
      <w:pPr>
        <w:pStyle w:val="BodyText"/>
        <w:ind w:left="0"/>
        <w:jc w:val="center"/>
        <w:rPr>
          <w:rFonts w:ascii="Arial" w:eastAsia="Arial" w:hAnsi="Arial" w:cs="Arial"/>
          <w:b/>
          <w:bCs/>
          <w:lang w:val="en-US"/>
        </w:rPr>
      </w:pPr>
      <w:r w:rsidRPr="000860B8">
        <w:rPr>
          <w:rFonts w:ascii="Arial" w:eastAsia="Arial" w:hAnsi="Arial" w:cs="Arial"/>
          <w:b/>
          <w:bCs/>
          <w:lang w:val="en-US"/>
        </w:rPr>
        <w:t>THE INFLUENCE OF THE AUDIT COMMITTEE AND CORPORATE SOCIAL RESPONSIBILITY DISCLOSURE ON EARNINGS MANAGEMENT</w:t>
      </w:r>
    </w:p>
    <w:p w14:paraId="487A6A84" w14:textId="77777777" w:rsidR="00A027F0" w:rsidRPr="000860B8" w:rsidRDefault="00A027F0" w:rsidP="000860B8">
      <w:pPr>
        <w:pStyle w:val="BodyText"/>
        <w:ind w:left="0"/>
        <w:rPr>
          <w:rFonts w:ascii="Arial" w:hAnsi="Arial" w:cs="Arial"/>
          <w:b/>
        </w:rPr>
      </w:pPr>
    </w:p>
    <w:p w14:paraId="2EB65A6B" w14:textId="5CE69417" w:rsidR="00A437B1" w:rsidRPr="000860B8" w:rsidRDefault="00A437B1" w:rsidP="000860B8">
      <w:pPr>
        <w:ind w:left="945" w:right="965"/>
        <w:jc w:val="center"/>
        <w:rPr>
          <w:rFonts w:ascii="Arial" w:hAnsi="Arial" w:cs="Arial"/>
          <w:b/>
          <w:lang w:val="en-US"/>
        </w:rPr>
      </w:pPr>
      <w:r w:rsidRPr="000860B8">
        <w:rPr>
          <w:rFonts w:ascii="Arial" w:hAnsi="Arial" w:cs="Arial"/>
          <w:b/>
        </w:rPr>
        <w:t>A</w:t>
      </w:r>
      <w:proofErr w:type="spellStart"/>
      <w:r w:rsidRPr="000860B8">
        <w:rPr>
          <w:rFonts w:ascii="Arial" w:hAnsi="Arial" w:cs="Arial"/>
          <w:b/>
          <w:lang w:val="en-US"/>
        </w:rPr>
        <w:t>prilia</w:t>
      </w:r>
      <w:proofErr w:type="spellEnd"/>
      <w:r w:rsidRPr="000860B8">
        <w:rPr>
          <w:rFonts w:ascii="Arial" w:hAnsi="Arial" w:cs="Arial"/>
          <w:b/>
          <w:lang w:val="en-US"/>
        </w:rPr>
        <w:t xml:space="preserve"> </w:t>
      </w:r>
      <w:proofErr w:type="spellStart"/>
      <w:r w:rsidRPr="000860B8">
        <w:rPr>
          <w:rFonts w:ascii="Arial" w:hAnsi="Arial" w:cs="Arial"/>
          <w:b/>
          <w:lang w:val="en-US"/>
        </w:rPr>
        <w:t>Pasca</w:t>
      </w:r>
      <w:proofErr w:type="spellEnd"/>
      <w:r w:rsidRPr="000860B8">
        <w:rPr>
          <w:rFonts w:ascii="Arial" w:hAnsi="Arial" w:cs="Arial"/>
          <w:b/>
          <w:lang w:val="en-US"/>
        </w:rPr>
        <w:t xml:space="preserve"> </w:t>
      </w:r>
      <w:proofErr w:type="spellStart"/>
      <w:r w:rsidRPr="000860B8">
        <w:rPr>
          <w:rFonts w:ascii="Arial" w:hAnsi="Arial" w:cs="Arial"/>
          <w:b/>
          <w:lang w:val="en-US"/>
        </w:rPr>
        <w:t>Ratiningsih</w:t>
      </w:r>
      <w:proofErr w:type="spellEnd"/>
      <w:r w:rsidRPr="000860B8">
        <w:rPr>
          <w:rFonts w:ascii="Arial" w:hAnsi="Arial" w:cs="Arial"/>
          <w:b/>
          <w:vertAlign w:val="superscript"/>
        </w:rPr>
        <w:t>1</w:t>
      </w:r>
      <w:r w:rsidRPr="000860B8">
        <w:rPr>
          <w:rFonts w:ascii="Arial" w:hAnsi="Arial" w:cs="Arial"/>
          <w:b/>
        </w:rPr>
        <w:t>,</w:t>
      </w:r>
      <w:r w:rsidRPr="000860B8">
        <w:rPr>
          <w:rFonts w:ascii="Arial" w:hAnsi="Arial" w:cs="Arial"/>
          <w:b/>
          <w:spacing w:val="-3"/>
        </w:rPr>
        <w:t xml:space="preserve"> </w:t>
      </w:r>
      <w:proofErr w:type="spellStart"/>
      <w:r w:rsidRPr="000860B8">
        <w:rPr>
          <w:rFonts w:ascii="Arial" w:hAnsi="Arial" w:cs="Arial"/>
          <w:b/>
          <w:lang w:val="en-US"/>
        </w:rPr>
        <w:t>Yeterina</w:t>
      </w:r>
      <w:proofErr w:type="spellEnd"/>
      <w:r w:rsidRPr="000860B8">
        <w:rPr>
          <w:rFonts w:ascii="Arial" w:hAnsi="Arial" w:cs="Arial"/>
          <w:b/>
          <w:lang w:val="en-US"/>
        </w:rPr>
        <w:t xml:space="preserve"> </w:t>
      </w:r>
      <w:proofErr w:type="spellStart"/>
      <w:r w:rsidRPr="000860B8">
        <w:rPr>
          <w:rFonts w:ascii="Arial" w:hAnsi="Arial" w:cs="Arial"/>
          <w:b/>
          <w:lang w:val="en-US"/>
        </w:rPr>
        <w:t>Widi</w:t>
      </w:r>
      <w:proofErr w:type="spellEnd"/>
      <w:r w:rsidRPr="000860B8">
        <w:rPr>
          <w:rFonts w:ascii="Arial" w:hAnsi="Arial" w:cs="Arial"/>
          <w:b/>
          <w:lang w:val="en-US"/>
        </w:rPr>
        <w:t xml:space="preserve"> </w:t>
      </w:r>
      <w:proofErr w:type="spellStart"/>
      <w:r w:rsidRPr="000860B8">
        <w:rPr>
          <w:rFonts w:ascii="Arial" w:hAnsi="Arial" w:cs="Arial"/>
          <w:b/>
          <w:lang w:val="en-US"/>
        </w:rPr>
        <w:t>Nugrahanti</w:t>
      </w:r>
      <w:proofErr w:type="spellEnd"/>
      <w:r w:rsidR="00B04649" w:rsidRPr="000860B8">
        <w:rPr>
          <w:rFonts w:ascii="Arial" w:hAnsi="Arial" w:cs="Arial"/>
          <w:b/>
          <w:lang w:val="en-US"/>
        </w:rPr>
        <w:t>*</w:t>
      </w:r>
      <w:r w:rsidRPr="000860B8">
        <w:rPr>
          <w:rFonts w:ascii="Arial" w:hAnsi="Arial" w:cs="Arial"/>
          <w:b/>
          <w:vertAlign w:val="superscript"/>
          <w:lang w:val="en-US"/>
        </w:rPr>
        <w:t>2</w:t>
      </w:r>
    </w:p>
    <w:p w14:paraId="24B78B1F" w14:textId="77777777" w:rsidR="00A437B1" w:rsidRPr="000860B8" w:rsidRDefault="00A437B1" w:rsidP="000860B8">
      <w:pPr>
        <w:pStyle w:val="BodyText"/>
        <w:ind w:left="945" w:right="965"/>
        <w:jc w:val="center"/>
        <w:rPr>
          <w:rFonts w:ascii="Arial" w:hAnsi="Arial" w:cs="Arial"/>
          <w:lang w:val="en-US"/>
        </w:rPr>
      </w:pPr>
      <w:r w:rsidRPr="000860B8">
        <w:rPr>
          <w:rFonts w:ascii="Arial" w:hAnsi="Arial" w:cs="Arial"/>
          <w:lang w:val="en-US"/>
        </w:rPr>
        <w:t xml:space="preserve">Universitas Kristen Satya </w:t>
      </w:r>
      <w:proofErr w:type="spellStart"/>
      <w:r w:rsidRPr="000860B8">
        <w:rPr>
          <w:rFonts w:ascii="Arial" w:hAnsi="Arial" w:cs="Arial"/>
          <w:lang w:val="en-US"/>
        </w:rPr>
        <w:t>Wacana</w:t>
      </w:r>
      <w:proofErr w:type="spellEnd"/>
      <w:r w:rsidRPr="000860B8">
        <w:rPr>
          <w:rFonts w:ascii="Arial" w:hAnsi="Arial" w:cs="Arial"/>
          <w:lang w:val="en-US"/>
        </w:rPr>
        <w:t>, Indonesia</w:t>
      </w:r>
    </w:p>
    <w:p w14:paraId="3060EC58" w14:textId="7060ED4B" w:rsidR="00A437B1" w:rsidRPr="000860B8" w:rsidRDefault="00A437B1" w:rsidP="000860B8">
      <w:pPr>
        <w:pStyle w:val="BodyText"/>
        <w:ind w:left="1089" w:right="1073" w:firstLine="20"/>
        <w:jc w:val="center"/>
        <w:rPr>
          <w:rFonts w:ascii="Arial" w:hAnsi="Arial" w:cs="Arial"/>
        </w:rPr>
      </w:pPr>
      <w:r w:rsidRPr="000860B8">
        <w:rPr>
          <w:rFonts w:ascii="Arial" w:hAnsi="Arial" w:cs="Arial"/>
          <w:u w:val="single"/>
          <w:lang w:val="en-US"/>
        </w:rPr>
        <w:t>apriliarati25@gmail.com</w:t>
      </w:r>
      <w:r w:rsidRPr="000860B8">
        <w:rPr>
          <w:rFonts w:ascii="Arial" w:hAnsi="Arial" w:cs="Arial"/>
          <w:u w:val="single"/>
          <w:vertAlign w:val="superscript"/>
        </w:rPr>
        <w:t>1</w:t>
      </w:r>
      <w:r w:rsidRPr="000860B8">
        <w:rPr>
          <w:rFonts w:ascii="Arial" w:hAnsi="Arial" w:cs="Arial"/>
        </w:rPr>
        <w:t>,</w:t>
      </w:r>
      <w:r w:rsidRPr="000860B8">
        <w:rPr>
          <w:rFonts w:ascii="Arial" w:hAnsi="Arial" w:cs="Arial"/>
          <w:spacing w:val="-3"/>
        </w:rPr>
        <w:t xml:space="preserve"> </w:t>
      </w:r>
      <w:hyperlink r:id="rId8" w:history="1">
        <w:r w:rsidR="00473723" w:rsidRPr="000860B8">
          <w:rPr>
            <w:rStyle w:val="Hyperlink"/>
            <w:rFonts w:ascii="Arial" w:hAnsi="Arial" w:cs="Arial"/>
            <w:lang w:val="en-US"/>
          </w:rPr>
          <w:t>yeterina.nugrahanti@uksw.edu*</w:t>
        </w:r>
        <w:r w:rsidR="00473723" w:rsidRPr="000860B8">
          <w:rPr>
            <w:rStyle w:val="Hyperlink"/>
            <w:rFonts w:ascii="Arial" w:hAnsi="Arial" w:cs="Arial"/>
            <w:vertAlign w:val="superscript"/>
          </w:rPr>
          <w:t>2</w:t>
        </w:r>
      </w:hyperlink>
    </w:p>
    <w:p w14:paraId="1157BBC5" w14:textId="77777777" w:rsidR="00A437B1" w:rsidRPr="000860B8" w:rsidRDefault="00A437B1" w:rsidP="000860B8">
      <w:pPr>
        <w:pStyle w:val="BodyText"/>
        <w:ind w:left="1089" w:right="1073" w:firstLine="20"/>
        <w:jc w:val="center"/>
        <w:rPr>
          <w:rFonts w:ascii="Arial" w:hAnsi="Arial" w:cs="Arial"/>
        </w:rPr>
      </w:pPr>
    </w:p>
    <w:p w14:paraId="6DCB3933" w14:textId="0E4A4AC0" w:rsidR="00A437B1" w:rsidRPr="000860B8" w:rsidRDefault="00A027F0" w:rsidP="000860B8">
      <w:pPr>
        <w:jc w:val="both"/>
        <w:rPr>
          <w:rFonts w:ascii="Arial" w:hAnsi="Arial" w:cs="Arial"/>
        </w:rPr>
      </w:pPr>
      <w:r w:rsidRPr="000860B8">
        <w:rPr>
          <w:rFonts w:ascii="Arial" w:hAnsi="Arial" w:cs="Arial"/>
          <w:b/>
        </w:rPr>
        <w:t xml:space="preserve">Abstract: </w:t>
      </w:r>
      <w:r w:rsidRPr="000860B8">
        <w:rPr>
          <w:rFonts w:ascii="Arial" w:hAnsi="Arial" w:cs="Arial"/>
          <w:bCs/>
        </w:rPr>
        <w:t>This study aims to see the effect of Audit and Disclosure of Corporate Social Responsibility (CSR) on Earnings Management. The population in this study are manufacturing companies listed on the Indonesia Stock Exchange (IDX) in 2019-2021. The total population in this study is 128 companies listed on the Indonesia Stock Exchange (IDX). The sample taken is a company engaged in the manufacturing sector on the Indonesia Stock Exchange (IDX) which was selected using a purposive sampling method. The analytical method used in this research is quantitative analysis. The results of the study simultaneously show that the Frequency of Audit Committee Meetings and Disclosure of Corporate Social Responsibility (CSR) have a negative influence on Earnings Management</w:t>
      </w:r>
      <w:r w:rsidR="00A437B1" w:rsidRPr="000860B8">
        <w:rPr>
          <w:rFonts w:ascii="Arial" w:hAnsi="Arial" w:cs="Arial"/>
        </w:rPr>
        <w:t xml:space="preserve">.  </w:t>
      </w:r>
    </w:p>
    <w:p w14:paraId="285E420E" w14:textId="3535724D" w:rsidR="00A437B1" w:rsidRPr="000860B8" w:rsidRDefault="00A027F0" w:rsidP="000860B8">
      <w:pPr>
        <w:pStyle w:val="BodyText"/>
        <w:ind w:left="0"/>
        <w:jc w:val="both"/>
        <w:rPr>
          <w:rFonts w:ascii="Arial" w:hAnsi="Arial" w:cs="Arial"/>
        </w:rPr>
      </w:pPr>
      <w:r w:rsidRPr="000860B8">
        <w:rPr>
          <w:rFonts w:ascii="Arial" w:hAnsi="Arial" w:cs="Arial"/>
          <w:b/>
        </w:rPr>
        <w:t xml:space="preserve">Keywords: </w:t>
      </w:r>
      <w:r w:rsidRPr="000860B8">
        <w:rPr>
          <w:rFonts w:ascii="Arial" w:hAnsi="Arial" w:cs="Arial"/>
          <w:bCs/>
        </w:rPr>
        <w:t>Earnings Management, Frequency of Audit Committee Meetings, Disclosure of Corporate Social Responsibility (CSR), Size</w:t>
      </w:r>
      <w:r w:rsidR="00A437B1" w:rsidRPr="000860B8">
        <w:rPr>
          <w:rFonts w:ascii="Arial" w:hAnsi="Arial" w:cs="Arial"/>
        </w:rPr>
        <w:t>.</w:t>
      </w:r>
    </w:p>
    <w:p w14:paraId="059B654D" w14:textId="77777777" w:rsidR="000860B8" w:rsidRDefault="00A437B1" w:rsidP="000860B8">
      <w:pPr>
        <w:pStyle w:val="Heading1"/>
        <w:ind w:right="963"/>
      </w:pPr>
      <w:r w:rsidRPr="000860B8">
        <w:rPr>
          <w:noProof/>
        </w:rPr>
        <mc:AlternateContent>
          <mc:Choice Requires="wps">
            <w:drawing>
              <wp:anchor distT="0" distB="0" distL="0" distR="0" simplePos="0" relativeHeight="251663360" behindDoc="1" locked="0" layoutInCell="1" allowOverlap="1" wp14:anchorId="281F7003" wp14:editId="5918F73C">
                <wp:simplePos x="0" y="0"/>
                <wp:positionH relativeFrom="page">
                  <wp:posOffset>1419225</wp:posOffset>
                </wp:positionH>
                <wp:positionV relativeFrom="paragraph">
                  <wp:posOffset>80010</wp:posOffset>
                </wp:positionV>
                <wp:extent cx="4777740" cy="635"/>
                <wp:effectExtent l="9525" t="14605" r="13335" b="1333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7740" cy="635"/>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65347" id="Straight Connector 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1.75pt,6.3pt" to="487.9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" strokeweight="1.5pt">
                <w10:wrap type="topAndBottom" anchorx="page"/>
              </v:line>
            </w:pict>
          </mc:Fallback>
        </mc:AlternateContent>
      </w:r>
      <w:r w:rsidR="0036538F" w:rsidRPr="000860B8">
        <w:t xml:space="preserve"> </w:t>
      </w:r>
    </w:p>
    <w:p w14:paraId="4318D58C" w14:textId="30C80CAF" w:rsidR="00A437B1" w:rsidRPr="000860B8" w:rsidRDefault="0036538F" w:rsidP="000860B8">
      <w:pPr>
        <w:pStyle w:val="Heading1"/>
        <w:ind w:right="963"/>
        <w:rPr>
          <w:lang w:val="en-US"/>
        </w:rPr>
      </w:pPr>
      <w:r w:rsidRPr="000860B8">
        <w:rPr>
          <w:noProof/>
        </w:rPr>
        <w:t>INTRODUCTION</w:t>
      </w:r>
    </w:p>
    <w:p w14:paraId="2AC53A1F" w14:textId="6CB56609" w:rsidR="00A437B1" w:rsidRPr="000860B8" w:rsidRDefault="0036538F" w:rsidP="000860B8">
      <w:pPr>
        <w:ind w:firstLine="720"/>
        <w:jc w:val="both"/>
        <w:rPr>
          <w:rFonts w:ascii="Arial" w:hAnsi="Arial" w:cs="Arial"/>
        </w:rPr>
      </w:pPr>
      <w:r w:rsidRPr="000860B8">
        <w:rPr>
          <w:rFonts w:ascii="Arial" w:hAnsi="Arial" w:cs="Arial"/>
        </w:rPr>
        <w:t xml:space="preserve">A company is established to meet the needs of an individual or consumer in carrying out their daily activities, and the company earns profits in return </w:t>
      </w:r>
      <w:r w:rsidR="00A437B1" w:rsidRPr="000860B8">
        <w:rPr>
          <w:rFonts w:ascii="Arial" w:hAnsi="Arial" w:cs="Arial"/>
        </w:rPr>
        <w:fldChar w:fldCharType="begin" w:fldLock="1"/>
      </w:r>
      <w:r w:rsidR="00A437B1" w:rsidRPr="000860B8">
        <w:rPr>
          <w:rFonts w:ascii="Arial" w:hAnsi="Arial" w:cs="Arial"/>
        </w:rPr>
        <w:instrText>ADDIN CSL_CITATION {"citationItems":[{"id":"ITEM-1","itemData":{"author":[{"dropping-particle":"","family":"Kusuma","given":"I Gusti Bagus Indra","non-dropping-particle":"","parse-names":false,"suffix":""},{"dropping-particle":"","family":"Mertha","given":"I Made","non-dropping-particle":"","parse-names":false,"suffix":""}],"id":"ITEM-1","issued":{"date-parts":[["2021"]]},"page":"1934-1947","title":"Manajemen Laba dan Nilai Perusahaan (Studi Empiris pada Perusahaan Manufaktur di Bursa Efek Indonesia)","type":"article-journal"},"uris":["http://www.mendeley.com/documents/?uuid=95dd2f05-1809-43aa-acec-84adeda78953"]}],"mendeley":{"formattedCitation":"(Kusuma &amp; Mertha, 2021)","plainTextFormattedCitation":"(Kusuma &amp; Mertha, 2021)","previouslyFormattedCitation":"(Kusuma &amp; Mertha, 2021)"},"properties":{"noteIndex":0},"schema":"https://github.com/citation-style-language/schema/raw/master/csl-citation.json"}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(Kusuma &amp; Mertha, 2021)</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rPr>
        <w:t xml:space="preserve">A company is said to be good if it can obtain increased profits, and profits are used as a standard for assessing company performance which can be seen from the results of financial reports </w:t>
      </w:r>
      <w:r w:rsidR="00A437B1" w:rsidRPr="000860B8">
        <w:rPr>
          <w:rFonts w:ascii="Arial" w:hAnsi="Arial" w:cs="Arial"/>
        </w:rPr>
        <w:fldChar w:fldCharType="begin" w:fldLock="1"/>
      </w:r>
      <w:r w:rsidR="00A437B1" w:rsidRPr="000860B8">
        <w:rPr>
          <w:rFonts w:ascii="Arial" w:hAnsi="Arial" w:cs="Arial"/>
        </w:rPr>
        <w:instrText>ADDIN CSL_CITATION {"citationItems":[{"id":"ITEM-1","itemData":{"abstract":"Financial report is a presentation of the financial performance of an entity/company. Performance information is needed to make potential changes in economic resources that can be controlled in the future. The purpose of this study is to test whether there is an effect …","author":[{"dropping-particle":"","family":"Nuswandari","given":"Hermalia Jelita Putri dan Cahyani","non-dropping-particle":"","parse-names":false,"suffix":""}],"container-title":"Jurnal Ilmiah Akuntansi","id":"ITEM-1","issue":"2","issued":{"date-parts":[["2021"]]},"page":"303-311","title":"Kualitas audit, profitabilitas, leverage, dan manajemen laba riil","type":"article-journal","volume":"11"},"uris":["http://www.mendeley.com/documents/?uuid=febe9bba-2395-46a5-94e8-14346bf1d013"]}],"mendeley":{"formattedCitation":"(Nuswandari, 2021)","plainTextFormattedCitation":"(Nuswandari, 2021)","previouslyFormattedCitation":"(Nuswandari, 2021)"},"properties":{"noteIndex":0},"schema":"https://github.com/citation-style-language/schema/raw/master/csl-citation.json"}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(Nuswandari, 2021)</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rPr>
        <w:t xml:space="preserve">Financial reports are accounting information for a company that is very useful for stakeholders such as the government, investors, creditors and owners. Information that attracts the attention of users of financial statements in the context of making decisions is the company's ability to generate profits. Profit information as part of financial reports can be used as an engineering tool used by management to maximize profits, so that things like this will be detrimental to shareholders and investors. Earnings management is a management action that aims to regulate profits by exploiting loopholes in accounting rules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{"citationItems":[{"id":"ITEM-1","itemData":{"DOI":"10.26905/afr.v4i1.5802","ISSN":"2598-7763","abstract":"Earnings information as part of the financial statements is usually the target of engineering using opportunistic steps from management in maximizing its interests, which can cause loss to shareholders and investors. Management behavior that is used to adjust earnings to suit what is desired is known as earnings management. The purpose of this study is to determine the effect of leverage, firm size and company life cycle on earnings management in mining sector companies. The population used in this study are mining sector companies listed on the Indonesia Stock Exchange that have published annual and financial reports in the 2015-2019 period. The data collection technique used in this study is the purposive sampling method which aims to obtain samples in accordance with defined criteria. Based on the predetermined criteria, there were 29 companies in this study that were used as research samples with a total of 145 observations for 5 periods. In this study, the company's life cycle is divided into 4 stages, namely introduction, growth, mature and decline. The data analysis used is dummy regression analysis. The results of this study indicate that leverage and firm size do not affect earnings management, but the company's life cycle has a positive and significant effect on earnings management in mining sector companies. Informasi laba sebagai bagian dari laporan keuangan biasanya menjadi sasaran rekayasa dengan menggunakan langkah-langkah oportunistik dari manajemen dalam memaksimalkan kepentingannya, yang dapat merugikan pemegang saham dan investor. Perilaku manajemen yang digunakan untuk hanya mengiklankan pendapatan agar sesuai dengan apa yang diinginkan dikenal sebagai manajemen laba. Tujuan penelitian adalah untuk mengetahui pengaruh leverage, ukuran perusahaan dan siklus hidup perusahaan terhadap manajemen laba pada perusahaan sektor pertambangan. Populasi penelitian adalah perusahaan sektor pertambangan yang terdaftar di Bursa Efek Indonesia yang telah mempublikasikan laporan keuangan dan tahunan periode 2015-2019. Teknik pengumpulan data digunakan metode purposive sampling. Berdasarkan kriteria yang telah ditentukan, terdapat 29 perusahaan yang kemudian dijadikan sampel penelitian dengan total 145 observasi selama 5 periode. Analisis data yang digunakan adalah analisis regresi dummy. Hasil penelitian ini menunjukkan bahwa leverage dan ukuran perusahaan tidak berpengaruh terhadap manajemen laba, tetapi siklus hidup perusahaan berpengaruh positif t…","author":[{"dropping-particle":"","family":"Kristiana","given":"Ulderike Eva","non-dropping-particle":"","parse-names":false,"suffix":""},{"dropping-particle":"","family":"Rita","given":"Maria Rio","non-dropping-particle":"","parse-names":false,"suffix":""}],"container-title":"AFRE (Accounting and Financial Review)","id":"ITEM-1","issue":"1","issued":{"date-parts":[["2021"]]},"page":"54-64","title":"Leverage, Ukuran Perusahaan, dan Siklus Hidup Perusahaan terhadap Manajemen Laba","type":"article-journal","volume":"4"},"uris":["http://www.mendeley.com/documents/?uuid=de851585-d0c3-44e9-87ae-66f8bcec25fb"]}],"mendeley":{"formattedCitation":"(Kristiana &amp; Rita, 2021)","plainTextFormattedCitation":"(Kristiana &amp; Rita, 2021)","previouslyFormattedCitation":"(Kristiana &amp; Rita, 2021)"},"properties":{"noteIndex":0},"schema":"https://github.com/citation-style-language/schema/raw/master/csl-citation.json"}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(Kristiana &amp; Rita, 2021)</w:t>
      </w:r>
      <w:r w:rsidR="00A437B1" w:rsidRPr="000860B8">
        <w:rPr>
          <w:rFonts w:ascii="Arial" w:hAnsi="Arial" w:cs="Arial"/>
        </w:rPr>
        <w:fldChar w:fldCharType="end"/>
      </w:r>
      <w:r w:rsidR="00A437B1" w:rsidRPr="000860B8">
        <w:rPr>
          <w:rFonts w:ascii="Arial" w:hAnsi="Arial" w:cs="Arial"/>
        </w:rPr>
        <w:t xml:space="preserve">. </w:t>
      </w:r>
    </w:p>
    <w:p w14:paraId="129481CC" w14:textId="6D132FF0" w:rsidR="00A437B1" w:rsidRPr="000860B8" w:rsidRDefault="00A437B1" w:rsidP="000860B8">
      <w:pPr>
        <w:jc w:val="both"/>
        <w:rPr>
          <w:rFonts w:ascii="Arial" w:hAnsi="Arial" w:cs="Arial"/>
        </w:rPr>
      </w:pPr>
      <w:r w:rsidRPr="000860B8">
        <w:rPr>
          <w:rFonts w:ascii="Arial" w:hAnsi="Arial" w:cs="Arial"/>
        </w:rPr>
        <w:tab/>
      </w:r>
      <w:r w:rsidR="0036538F" w:rsidRPr="000860B8">
        <w:rPr>
          <w:rFonts w:ascii="Arial" w:hAnsi="Arial" w:cs="Arial"/>
        </w:rPr>
        <w:t>In Indonesia, a case of earnings management occurred in 2019 where there was an alleged fraud in the 2019 Annual Financial Statements (LKT) at one of the issuers in the services and trading sector in the field of information technology, PT Envy Technologies Indonesia Tbk (ENVY) and its subsidiaries. In the letter previously sent to PT ENVY on July 19 2021, IDX</w:t>
      </w:r>
      <w:r w:rsidR="0036538F" w:rsidRPr="000860B8">
        <w:rPr>
          <w:rFonts w:ascii="Arial" w:hAnsi="Arial" w:cs="Arial"/>
          <w:lang w:val="en-US"/>
        </w:rPr>
        <w:t xml:space="preserve"> </w:t>
      </w:r>
      <w:r w:rsidR="0036538F" w:rsidRPr="000860B8">
        <w:rPr>
          <w:rFonts w:ascii="Arial" w:hAnsi="Arial" w:cs="Arial"/>
        </w:rPr>
        <w:t xml:space="preserve">questioned the financial figures of PT Ritel Global Solusi (RGS) which were consolidated into PT ENVY's 2019 annual financial reports (LKT), considering that PT Ritel Global Solusi (RGS) was said not to have prepared these financial statements. Based on the disclosure of information, the management of PT ENVY explained that the consolidated financial statements had fully obtained the approval of the management in office for that period. This case of financial statement manipulation resulted in stock trading being suspended by the IDX since December 1, </w:t>
      </w:r>
      <w:r w:rsidR="0036538F" w:rsidRPr="000860B8">
        <w:rPr>
          <w:rFonts w:ascii="Arial" w:hAnsi="Arial" w:cs="Arial"/>
        </w:rPr>
        <w:lastRenderedPageBreak/>
        <w:t xml:space="preserve">2020 in connection with the exchange review of PT ENVY's interim financial reports as of September 30, 2020 </w:t>
      </w:r>
      <w:r w:rsidRPr="000860B8">
        <w:rPr>
          <w:rFonts w:ascii="Arial" w:hAnsi="Arial" w:cs="Arial"/>
        </w:rPr>
        <w:fldChar w:fldCharType="begin" w:fldLock="1"/>
      </w:r>
      <w:r w:rsidRPr="000860B8">
        <w:rPr>
          <w:rFonts w:ascii="Arial" w:hAnsi="Arial" w:cs="Arial"/>
        </w:rPr>
        <w:instrText>ADDIN CSL_CITATION {"citationItems":[{"id":"ITEM-1","itemData":{"URL":"https://www.cnbcindonesia.com/market/20210723180023-17-263194/ada-emiten-diduga-manipulasi-lapkeu-langsung-dicecar-bei","accessed":{"date-parts":[["2022","9","26"]]},"author":[{"dropping-particle":"","family":"Sandria","given":"Ferry","non-dropping-particle":"","parse-names":false,"suffix":""}],"container-title":"CNBC Indonesia","id":"ITEM-1","issued":{"date-parts":[["2021"]]},"title":"Ada Emiten Diduga Manipulasi Lapkeu, Langsung Dicecar BEI!","type":"webpage"},"uris":["http://www.mendeley.com/documents/?uuid=049e9309-7799-49a6-9f3b-1c5dd52e5ea3"]}],"mendeley":{"formattedCitation":"(Sandria, 2021)","plainTextFormattedCitation":"(Sandria, 2021)","previouslyFormattedCitation":"(Sandria, 2021)"},"properties":{"noteIndex":0},"schema":"https://github.com/citation-style-language/schema/raw/master/csl-citation.json"}</w:instrText>
      </w:r>
      <w:r w:rsidRPr="000860B8">
        <w:rPr>
          <w:rFonts w:ascii="Arial" w:hAnsi="Arial" w:cs="Arial"/>
        </w:rPr>
        <w:fldChar w:fldCharType="separate"/>
      </w:r>
      <w:r w:rsidRPr="000860B8">
        <w:rPr>
          <w:rFonts w:ascii="Arial" w:hAnsi="Arial" w:cs="Arial"/>
          <w:noProof/>
        </w:rPr>
        <w:t>(Sandria, 2021)</w:t>
      </w:r>
      <w:r w:rsidRPr="000860B8">
        <w:rPr>
          <w:rFonts w:ascii="Arial" w:hAnsi="Arial" w:cs="Arial"/>
        </w:rPr>
        <w:fldChar w:fldCharType="end"/>
      </w:r>
      <w:r w:rsidRPr="000860B8">
        <w:rPr>
          <w:rFonts w:ascii="Arial" w:hAnsi="Arial" w:cs="Arial"/>
        </w:rPr>
        <w:t xml:space="preserve">. </w:t>
      </w:r>
    </w:p>
    <w:p w14:paraId="2721995A" w14:textId="77777777" w:rsidR="0036538F" w:rsidRPr="000860B8" w:rsidRDefault="00A437B1" w:rsidP="000860B8">
      <w:pPr>
        <w:jc w:val="both"/>
        <w:rPr>
          <w:rFonts w:ascii="Arial" w:hAnsi="Arial" w:cs="Arial"/>
        </w:rPr>
      </w:pPr>
      <w:r w:rsidRPr="000860B8">
        <w:rPr>
          <w:rFonts w:ascii="Arial" w:hAnsi="Arial" w:cs="Arial"/>
        </w:rPr>
        <w:tab/>
      </w:r>
      <w:bookmarkStart w:id="0" w:name="_Hlk115098436"/>
      <w:r w:rsidR="0036538F" w:rsidRPr="000860B8">
        <w:rPr>
          <w:rFonts w:ascii="Arial" w:hAnsi="Arial" w:cs="Arial"/>
        </w:rPr>
        <w:t>The phenomenon of financial scandals in financial reporting proves that the principle of honesty is still lacking in preparing financial reports and presenting information in financial reports based on actual circumstances. With the practice of earnings management, the quality of financial reporting becomes poor so that decision making can mislead the company. In the case of earnings management that can damage the company's reputation, it is necessary to practice Corporate Governance by establishing an audit committee as one of the mechanisms.</w:t>
      </w:r>
    </w:p>
    <w:p w14:paraId="2CF40B3F" w14:textId="77777777" w:rsidR="0036538F" w:rsidRPr="000860B8" w:rsidRDefault="0036538F" w:rsidP="000860B8">
      <w:pPr>
        <w:jc w:val="both"/>
        <w:rPr>
          <w:rFonts w:ascii="Arial" w:hAnsi="Arial" w:cs="Arial"/>
        </w:rPr>
      </w:pPr>
      <w:r w:rsidRPr="000860B8">
        <w:rPr>
          <w:rFonts w:ascii="Arial" w:hAnsi="Arial" w:cs="Arial"/>
        </w:rPr>
        <w:t xml:space="preserve">One of the corporate governance mechanisms is the audit committee. Compared to other corporate governance mechanisms, the audit committee plays an important role in participating in corporate governance. The audit committee is tasked with overseeing management actions and providing professional and independent opinions to the board of commissioners regarding financial reporting that may affect control over decisions made. </w:t>
      </w:r>
      <w:r w:rsidR="00A437B1" w:rsidRPr="000860B8">
        <w:rPr>
          <w:rFonts w:ascii="Arial" w:hAnsi="Arial" w:cs="Arial"/>
        </w:rPr>
        <w:fldChar w:fldCharType="begin" w:fldLock="1"/>
      </w:r>
      <w:r w:rsidR="00A437B1" w:rsidRPr="000860B8">
        <w:rPr>
          <w:rFonts w:ascii="Arial" w:hAnsi="Arial" w:cs="Arial"/>
        </w:rPr>
        <w:instrText>ADDIN CSL_CITATION {"citationItems":[{"id":"ITEM-1","itemData":{"abstract":"Penelitian ini bertujuan untuk menguji dan menganalisis bukti empiris mengenai pengaruh ukuran komite audit, pertemuan komite audit, ukuran Dewan Pengawas Syariah (DPS), keahlian Dewan Pengawas Syariah (DPS), pertemuan Dewan Pengawas Syariah (DPS), remunerasi Dewan Pengawas Syariah (DPS) terhadap kinerja keuangan bank syariah. Variabel dependen dalam penelitian yaitu kinerja keuangan bank syariah yang diukur dengan Return on Asset (ROA). Penelitian ini juga mempunyai variabel kontrol yaitu ukuran bank dan umur bank. Populasi dalam penelitian yaitu seluruh perbankan syariah di 2 (dua) negara yaitu Indonesia dan Malaysia. Penentuan sampel dalam penelitian ini menggunakan teknik purposive sampling dengan kriteria tertentu. Total sampel dalam penelitian berjumlah 21 perbankan syariah selama periode 2014-2018, sehingga total pengamatan berjumlah 105 sampel. Metode analisis yang digunakan dalam penelitian yaitu model regresi linear berganda. Hasil dari analisis menunjukkan bahwa ukuran komite audit, ukuran Dewan Pengawas Syariah (DPS), keahlian Dewan Pengawas Syariah (DPS), dan remunerasi Dewan Pengawas Syariah (DPS) berpengaruh signifikan positif terhadap kinerja keuangan bank syariah, sedangkan ukuran bank memiliki pengaruh negatif. Selain itu pertemuan komite audit, pertemuan Dewan Pengawas Syariah (DPS) dan umur bank tidak berpengaruh signifikan terhadap kinerja keuangan bank syariah","author":[{"dropping-particle":"","family":"Dewi","given":"Nesia Erika","non-dropping-particle":"","parse-names":false,"suffix":""},{"dropping-particle":"","family":"Triani","given":"Ni Nyoman Alit Triani","non-dropping-particle":"","parse-names":false,"suffix":""}],"container-title":"Skripsi Universitas Diponegoro Semarang","id":"ITEM-1","issued":{"date-parts":[["2020"]]},"page":"117","title":"Pengaruh Komite Audit dan Kepemilikan Institusional terhadap Manajemen Laba pada Perusahaan Manufaktur di Indonesia","type":"article-journal"},"uris":["http://www.mendeley.com/documents/?uuid=c9be00b3-a55e-4a45-9b61-94f4b2b3825b"]}],"mendeley":{"formattedCitation":"(Dewi &amp; Triani, 2020)","plainTextFormattedCitation":"(Dewi &amp; Triani, 2020)","previouslyFormattedCitation":"(Dewi &amp; Triani, 2020)"},"properties":{"noteIndex":0},"schema":"https://github.com/citation-style-language/schema/raw/master/csl-citation.json"}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(Dewi &amp; Triani, 2020)</w:t>
      </w:r>
      <w:r w:rsidR="00A437B1" w:rsidRPr="000860B8">
        <w:rPr>
          <w:rFonts w:ascii="Arial" w:hAnsi="Arial" w:cs="Arial"/>
        </w:rPr>
        <w:fldChar w:fldCharType="end"/>
      </w:r>
      <w:r w:rsidR="00A437B1" w:rsidRPr="000860B8">
        <w:rPr>
          <w:rFonts w:ascii="Arial" w:hAnsi="Arial" w:cs="Arial"/>
        </w:rPr>
        <w:t xml:space="preserve">. </w:t>
      </w:r>
      <w:bookmarkStart w:id="1" w:name="_Hlk117002549"/>
      <w:r w:rsidRPr="000860B8">
        <w:rPr>
          <w:rFonts w:ascii="Arial" w:hAnsi="Arial" w:cs="Arial"/>
        </w:rPr>
        <w:t xml:space="preserve">This is in line with research that has been conducted by </w:t>
      </w:r>
      <w:r w:rsidR="00A437B1" w:rsidRPr="000860B8">
        <w:rPr>
          <w:rFonts w:ascii="Arial" w:hAnsi="Arial" w:cs="Arial"/>
        </w:rPr>
        <w:fldChar w:fldCharType="begin" w:fldLock="1"/>
      </w:r>
      <w:r w:rsidR="00A437B1" w:rsidRPr="000860B8">
        <w:rPr>
          <w:rFonts w:ascii="Arial" w:hAnsi="Arial" w:cs="Arial"/>
        </w:rPr>
        <w:instrText>ADDIN CSL_CITATION {"citationItems":[{"id":"ITEM-1","itemData":{"author":[{"dropping-particle":"","family":"Setiawan","given":"Teguh","non-dropping-particle":"","parse-names":false,"suffix":""}],"id":"ITEM-1","issued":{"date-parts":[["2009"]]},"title":"Analisis Pengaruh Mekanisme Good Corporate Governance Terhadap Praktek Manajemen Laba pada Perusahaan Manufaktur yang Terdaftar di Bursa Efek Indonesia periode 2005-2007","type":"article-journal"},"uris":["http://www.mendeley.com/documents/?uuid=3dcdf3d7-78ba-49c2-bdf7-6225a488cbdd"]}],"mendeley":{"formattedCitation":"(Setiawan, 2009)","manualFormatting":"Setiawan (2009)","plainTextFormattedCitation":"(Setiawan, 2009)","previouslyFormattedCitation":"(Setiawan, 2009)"},"properties":{"noteIndex":0},"schema":"https://github.com/citation-style-language/schema/raw/master/csl-citation.json"}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Setiawan (2009)</w:t>
      </w:r>
      <w:r w:rsidR="00A437B1" w:rsidRPr="000860B8">
        <w:rPr>
          <w:rFonts w:ascii="Arial" w:hAnsi="Arial" w:cs="Arial"/>
        </w:rPr>
        <w:fldChar w:fldCharType="end"/>
      </w:r>
      <w:r w:rsidR="00A437B1" w:rsidRPr="000860B8">
        <w:rPr>
          <w:rFonts w:ascii="Arial" w:hAnsi="Arial" w:cs="Arial"/>
        </w:rPr>
        <w:t xml:space="preserve"> </w:t>
      </w:r>
      <w:bookmarkEnd w:id="1"/>
      <w:r w:rsidRPr="000860B8">
        <w:rPr>
          <w:rFonts w:ascii="Arial" w:hAnsi="Arial" w:cs="Arial"/>
        </w:rPr>
        <w:t xml:space="preserve">which shows that the existence of an audit committee has a better impact on earnings management than other corporate governance mechanisms, and the existence of an audit committee can minimize the scope of earnings management. The audit committee is responsible for reviewing and auditing the company's financial statements and acting as a liaison between the company's directors and external auditors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{"citationItems":[{"id":"ITEM-1","itemData":{"DOI":"10.31093/jraba.v3i2.123","ISSN":"2548-1401","abstract":"This study aims to examine the effect of family ownership and audit committee characteristics on earnings management. The independent variables in this study are family ownership, audit committee size, accounting expertise of audit commitee, and audit committee’s number of meetings. Earnings management as a dependent variable is measured by discretionary accrual as a proxy of earnings management. This study also uses leverage and size as control variables. The sample of this study are 81 manufacturing companies listed on Indonesia Stock Exchange (IDX) with data for a period of 2 years (2015-2016). Using multiple linear regression, this study finds family ownership, audit committee size, accounting expertise of audit committee and audit committee’s number of meetings have a negaticve effect on earnings management. This study contributes to the existing literature by providing new result related to the influence of family ownership and audit committee characteristics on earnings management practice. In addition, this study offer some useful insights for policy maker in determining the most effective policy to reduce earnings management.","author":[{"dropping-particle":"","family":"Dwiyanti","given":"Kadek Trisna","non-dropping-particle":"","parse-names":false,"suffix":""},{"dropping-particle":"","family":"Astriena","given":"Meyta","non-dropping-particle":"","parse-names":false,"suffix":""}],"container-title":"Jurnal Riset Akuntansi Dan Bisnis Airlangga","id":"ITEM-1","issue":"2","issued":{"date-parts":[["2018"]]},"page":"447-469","title":"Pengaruh Kepemilikan Keluarga Dan Karakteristik Komite Audit Terhadap Manajemen Laba","type":"article-journal","volume":"3"},"uris":["http://www.mendeley.com/documents/?uuid=5692c2c6-459d-4312-9544-31218f3abb6c"]}],"mendeley":{"formattedCitation":"(Dwiyanti &amp; Astriena, 2018)","plainTextFormattedCitation":"(Dwiyanti &amp; Astriena, 2018)","previouslyFormattedCitation":"(Dwiyanti &amp; Astriena, 2018)"},"properties":{"noteIndex":0},"schema":"https://github.com/citation-style-language/schema/raw/master/csl-citation.json"}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(Dwiyanti &amp; Astriena, 2018)</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rPr>
        <w:t>Study</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{"citationItems":[{"id":"ITEM-1","itemData":{"DOI":"10.26905/afr.v3i2.5195","ISSN":"2598-7763","abstract":"This study aims to examine and provide empirical evidence of the impact of good corporate governance and sustainability report disclosure on firm value with earning management as an intervening variable. The firm value measured by price to book value, good corporate governance measured by meeting frequency of audit committee and percentage of the independent commissioner on board, sustainability report disclosure measured by the number of items disclosed divided by the items regulated in the GRI, earning management measured by discretionary accruals. The sampling technique is purposive sampling. The number of samples used in this study is 42 companies listed on the Indonesia Stock Exchange in 2018-2019. The data are analyzed using path analysis. The results showed that the audit committee has a significant influence on earning management. Sustainability report disclosure and the independent commissioner have no significance to the earning management. Sustainability report disclosure and the independent commissioner have a significant influence on firm value. Audit committee and earning management have no significant influence on firm value. Earnings management does not mediate the relationship between audit committee, independent commissioners, and sustainability report disclosure on firm value.DOI: https://doi.org/10.26905/afr.v3i2.5195","author":[{"dropping-particle":"","family":"Jemunu","given":"Maria Dwi","non-dropping-particle":"","parse-names":false,"suffix":""},{"dropping-particle":"","family":"Apriyanto","given":"Gaguk","non-dropping-particle":"","parse-names":false,"suffix":""},{"dropping-particle":"","family":"Parawiyati","given":"Parawiyati","non-dropping-particle":"","parse-names":false,"suffix":""}],"container-title":"AFRE (Accounting and Financial Review)","id":"ITEM-1","issue":"2","issued":{"date-parts":[["2021"]]},"page":"93-102","title":"Good Corporate Governance, Pengungkapan Sustainability Report dan Manajemen Laba terhadap Nilai Perusahaan","type":"article-journal","volume":"3"},"uris":["http://www.mendeley.com/documents/?uuid=554338f8-41e2-4b37-9643-edf880439b47"]}],"mendeley":{"formattedCitation":"(Jemunu et al., 2021)","manualFormatting":"Jemunu et al., (2021)","plainTextFormattedCitation":"(Jemunu et al., 2021)","previouslyFormattedCitation":"(Jemunu et al., 2021)"},"properties":{"noteIndex":0},"schema":"https://github.com/citation-style-language/schema/raw/master/csl-citation.json"}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Jemunu et al., (2021)</w:t>
      </w:r>
      <w:r w:rsidR="00A437B1" w:rsidRPr="000860B8">
        <w:rPr>
          <w:rFonts w:ascii="Arial" w:hAnsi="Arial" w:cs="Arial"/>
        </w:rPr>
        <w:fldChar w:fldCharType="end"/>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{"citationItems":[{"id":"ITEM-1","itemData":{"ISBN":"9789896540821","author":[{"dropping-particle":"","family":"Adi","given":"Yohana Epifani Kartika Adi","non-dropping-particle":"","parse-names":false,"suffix":""}],"id":"ITEM-1","issue":"1","issued":{"date-parts":[["2020"]]},"page":"1-9","title":"Corporate Governance, Ukuran Perusahaan, Leverage dan Real Earnings Management","type":"article-journal","volume":"21"},"uris":["http://www.mendeley.com/documents/?uuid=11cfc505-b79f-4ff1-a89f-0bc4d790b2b4"]}],"mendeley":{"formattedCitation":"(Adi, 2020)","manualFormatting":"Adi (2020)","plainTextFormattedCitation":"(Adi, 2020)","previouslyFormattedCitation":"(Adi, 2020)"},"properties":{"noteIndex":0},"schema":"https://github.com/citation-style-language/schema/raw/master/csl-citation.json"}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Adi (2020)</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lang w:val="en-US"/>
        </w:rPr>
        <w:t>and</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author":[{"dropping-particle":"","family":"Rahmawati","given":"","non-dropping-particle":"","parse-names":false,"suffix":""},{"dropping-particle":"","family":"Adhani","given":"Ida","non-dropping-particle":"","parse-names":false,"suffix":""}],"container-title":"Akuntansi, Jurnal","id":"ITEM-1","issued":{"date-parts":[["2022"]]},"page":"1-12","title":"Pengaruh GCG dan CSR terhadap Manajemen Laba serta Dampaknya pada Tax Avoidance","type":"article-journal","volume":"6"},"uris":["http://www.mendeley.com/documents/?uuid=5afbd452-cfba-432d-8dc6-36145e22a66e"]}],"mendeley":{"formattedCitation":"(Rahmawati &amp; Adhani, 2022)","manualFormatting":"Rahmawati &amp; Adhani (2022)","plainTextFormattedCitation":"(Rahmawati &amp; Adhani, 2022)","previouslyFormattedCitation":"(Rahmawati &amp; Adhani, 2022)"},"properties":{"noteIndex":0},"schema":"https://github.com/citation-style-language/schema/raw/master/csl-citation.json"}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Rahmawati &amp; Adhani (2022)</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rPr>
        <w:t xml:space="preserve">shows that the audit committee has a positive effect on earnings management. The higher the frequency of audit committee meetings, the higher the possibility of earnings management being carried out by the company. In contrast to research that has been conducted by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{"citationItems":[{"id":"ITEM-1","itemData":{"DOI":"10.30659/jai.9.1.37-51","ISSN":"0216-6747","abstract":"This study aims to determine the effect of the quality of the audit committee and the size of the public accounting firm on earnings management. The audit committee uses the proxy size of the audit committee, the number of audit committee meetings, the independent audit committee and the expertise of the audit committee. This study uses secondary data, namely companies in the category of basic industrial and chemical manufacturing sectors listed on the Indonesia Stock Exchange (IDX). The sample used 16 companies with the period 2015-2017 through a purposive sampling method. The analytical method used is multiple regression. Based on the results of the study concluded that the independent audit committee has a positive effect on earnings management, but the size of the audit committee, the number of audit committee meetings, the expertise of the audit committee, and the size of the public accounting firm have no influence on earnings management.","author":[{"dropping-particle":"","family":"Alfiyasahra","given":"Nazila","non-dropping-particle":"","parse-names":false,"suffix":""},{"dropping-particle":"","family":"Challen","given":"Auliffi Ermian","non-dropping-particle":"","parse-names":false,"suffix":""}],"container-title":"Jurnal Akuntansi Indonesia","id":"ITEM-1","issue":"1","issued":{"date-parts":[["2020"]]},"page":"37","title":"Pengaruh Kualitas Komite Audit dan Ukuran Kantor Akuntan Publik terhadap Manajemen Laba","type":"article-journal","volume":"9"},"uris":["http://www.mendeley.com/documents/?uuid=1b639dee-a6cb-4250-b411-2a321a476b5a"]}],"mendeley":{"formattedCitation":"(Alfiyasahra &amp; Challen, 2020)","manualFormatting":"Alfiyasahra &amp; Challen (2020)","plainTextFormattedCitation":"(Alfiyasahra &amp; Challen, 2020)","previouslyFormattedCitation":"(Alfiyasahra &amp; Challen, 2020)"},"properties":{"noteIndex":0},"schema":"https://github.com/citation-style-language/schema/raw/master/csl-citation.json"}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Alfiyasahra &amp; Challen (2020)</w:t>
      </w:r>
      <w:r w:rsidR="00A437B1" w:rsidRPr="000860B8">
        <w:rPr>
          <w:rFonts w:ascii="Arial" w:hAnsi="Arial" w:cs="Arial"/>
        </w:rPr>
        <w:fldChar w:fldCharType="end"/>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{"citationItems":[{"id":"ITEM-1","itemData":{"DOI":"10.31093/jraba.v3i2.123","ISSN":"2548-1401","abstract":"This study aims to examine the effect of family ownership and audit committee characteristics on earnings management. The independent variables in this study are family ownership, audit committee size, accounting expertise of audit commitee, and audit committee’s number of meetings. Earnings management as a dependent variable is measured by discretionary accrual as a proxy of earnings management. This study also uses leverage and size as control variables. The sample of this study are 81 manufacturing companies listed on Indonesia Stock Exchange (IDX) with data for a period of 2 years (2015-2016). Using multiple linear regression, this study finds family ownership, audit committee size, accounting expertise of audit committee and audit committee’s number of meetings have a negaticve effect on earnings management. This study contributes to the existing literature by providing new result related to the influence of family ownership and audit committee characteristics on earnings management practice. In addition, this study offer some useful insights for policy maker in determining the most effective policy to reduce earnings management.","author":[{"dropping-particle":"","family":"Dwiyanti","given":"Kadek Trisna","non-dropping-particle":"","parse-names":false,"suffix":""},{"dropping-particle":"","family":"Astriena","given":"Meyta","non-dropping-particle":"","parse-names":false,"suffix":""}],"container-title":"Jurnal Riset Akuntansi Dan Bisnis Airlangga","id":"ITEM-1","issue":"2","issued":{"date-parts":[["2018"]]},"page":"447-469","title":"Pengaruh Kepemilikan Keluarga Dan Karakteristik Komite Audit Terhadap Manajemen Laba","type":"article-journal","volume":"3"},"uris":["http://www.mendeley.com/documents/?uuid=5692c2c6-459d-4312-9544-31218f3abb6c"]}],"mendeley":{"formattedCitation":"(Dwiyanti &amp; Astriena, 2018)","manualFormatting":"Dwiyanti &amp; Astriena (2018)","plainTextFormattedCitation":"(Dwiyanti &amp; Astriena, 2018)","previouslyFormattedCitation":"(Dwiyanti &amp; Astriena, 2018)"},"properties":{"noteIndex":0},"schema":"https://github.com/citation-style-language/schema/raw/master/csl-citation.json"}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Dwiyanti &amp; Astriena (2018)</w:t>
      </w:r>
      <w:r w:rsidR="00A437B1" w:rsidRPr="000860B8">
        <w:rPr>
          <w:rFonts w:ascii="Arial" w:hAnsi="Arial" w:cs="Arial"/>
        </w:rPr>
        <w:fldChar w:fldCharType="end"/>
      </w:r>
      <w:r w:rsidR="00A437B1" w:rsidRPr="000860B8">
        <w:rPr>
          <w:rFonts w:ascii="Arial" w:hAnsi="Arial" w:cs="Arial"/>
        </w:rPr>
        <w:t xml:space="preserve">, dan </w:t>
      </w:r>
      <w:r w:rsidR="00A437B1" w:rsidRPr="000860B8">
        <w:rPr>
          <w:rFonts w:ascii="Arial" w:hAnsi="Arial" w:cs="Arial"/>
        </w:rPr>
        <w:fldChar w:fldCharType="begin" w:fldLock="1"/>
      </w:r>
      <w:r w:rsidR="00A437B1" w:rsidRPr="000860B8">
        <w:rPr>
          <w:rFonts w:ascii="Arial" w:hAnsi="Arial" w:cs="Arial"/>
        </w:rPr>
        <w:instrText>ADDIN CSL_CITATION {"citationItems":[{"id":"ITEM-1","itemData":{"abstract":"Perkembangan system perbankan yang berbasis syariah banyak bermunculan disebabkan pemerintah yang memberi kebijkan dual-banking system dalam Kerangka Arsitektur Perbankan Indonesia (API) untuk menghadirkan alternative jasa perbankan yang semakin lengkap kepada masyarakat Indonesia. Meskipun secara teoritis perbankan syariah beroperasi dengan sistem bagi hasil, dalam praktiknya terdapat kemungkinan bank syariah melakukan kebijakan manajemen laba. Berdasarkan peraturan Otoritas Jasa Keuangan tentang pelaksanaan Good Corporate Governance yang diharapkan dapat meminimalisir tindakan manajemen untuk melakukan praktik manajemen laba.Penelitian ini bertujuan untuk menganalisis peran dewan pengawas syariah, komite audit dan dewan komisaris dalam mendeteksi praktik manajemen laba di Bank Umum Syariah.Model penelitian dianalisis menggunakan Multiple Linear Regression. Metode pengumpulan data yang digunakan adalah metode dokumentasi data sekunder,dimana data dikumpulkan dan diolah dari berbagai sumber. Hasil akhir penelitian ini berdasarkan uji yang telah dilakukan Dewan Pengawas Syariah tidak dapat meminimalisir manajemen untuk melakukan praktik manajamen laba, peranan komite audit tidak berpengaruh terhadap manajemen laba sedangkan peranan dewan komisaris mampu memprediksi praktik manajamen laba..","author":[{"dropping-particle":"","family":"Kodriyah","given":"Kodriyah","non-dropping-particle":"","parse-names":false,"suffix":""},{"dropping-particle":"","family":"Suprihatin","given":"Neneng Sri","non-dropping-particle":"","parse-names":false,"suffix":""},{"dropping-particle":"","family":"Octaviani","given":"Santi","non-dropping-particle":"","parse-names":false,"suffix":""}],"container-title":"Jurnal Akuntansi","id":"ITEM-1","issue":"2","issued":{"date-parts":[["2017"]]},"page":"59-64","title":"Peran Dewan Pengawas Syariah, Komite Audit Dan Dewan Komisaris Dalam Mendeteksi Praktik Manajemen Laba","type":"article-journal","volume":"4"},"uris":["http://www.mendeley.com/documents/?uuid=0b033bae-ac5e-4d13-be40-e081dc26a9f6"]}],"mendeley":{"formattedCitation":"(Kodriyah et al., 2017)","manualFormatting":"Kodriyah et al. (2017)","plainTextFormattedCitation":"(Kodriyah et al., 2017)","previouslyFormattedCitation":"(Kodriyah et al., 2017)"},"properties":{"noteIndex":0},"schema":"https://github.com/citation-style-language/schema/raw/master/csl-citation.json"}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Kodriyah et al. (2017)</w:t>
      </w:r>
      <w:r w:rsidR="00A437B1" w:rsidRPr="000860B8">
        <w:rPr>
          <w:rFonts w:ascii="Arial" w:hAnsi="Arial" w:cs="Arial"/>
        </w:rPr>
        <w:fldChar w:fldCharType="end"/>
      </w:r>
      <w:r w:rsidR="00A437B1" w:rsidRPr="000860B8">
        <w:rPr>
          <w:rFonts w:ascii="Arial" w:hAnsi="Arial" w:cs="Arial"/>
        </w:rPr>
        <w:t xml:space="preserve">  </w:t>
      </w:r>
      <w:bookmarkStart w:id="2" w:name="_Hlk117002592"/>
      <w:bookmarkEnd w:id="0"/>
      <w:r w:rsidRPr="000860B8">
        <w:rPr>
          <w:rFonts w:ascii="Arial" w:hAnsi="Arial" w:cs="Arial"/>
        </w:rPr>
        <w:t>which shows that the audit committee has a negative effect on earnings management. This means that the more audit committee meetings are held, the greater the opportunity for the audit committee to evaluate the accuracy of a company's financial reporting so as to reduce earnings management practices. From several studies that have been conducted, research related to the influence of audit committees on earnings management has not been consistent.</w:t>
      </w:r>
    </w:p>
    <w:p w14:paraId="562AA51A" w14:textId="77777777" w:rsidR="0051500B" w:rsidRPr="000860B8" w:rsidRDefault="0036538F" w:rsidP="000860B8">
      <w:pPr>
        <w:jc w:val="both"/>
        <w:rPr>
          <w:rFonts w:ascii="Arial" w:hAnsi="Arial" w:cs="Arial"/>
        </w:rPr>
      </w:pPr>
      <w:r w:rsidRPr="000860B8">
        <w:rPr>
          <w:rFonts w:ascii="Arial" w:hAnsi="Arial" w:cs="Arial"/>
        </w:rPr>
        <w:t>Apart from being influenced by the audit committee, earnings management will also be reduced when a disclosure is given, where such disclosure can reduce the occurrence of information asymmetry which results in earnings management. One of these disclosures is the disclosure of corporate social responsibility. Disclosure of social responsibility (corporate social responsibility) makes financial reporting transparent,</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{"citationItems":[{"id":"ITEM-1","itemData":{"DOI":"10.23969/jrak.v12i2.2251","abstract":"This study aims to analyze the direct and indirect effects of Corporate Social Responsibility (CSR) on company performance through earnings management. The objects in this study are companies incorporated in LQ45 in the 2016-2018 period. Samples were taken using a purposive sampling method. The data of this study were analyzed using path analysis. The results showed four important findings: (1) the influence of CSR on company performance is positive and significant, (2) CSR has a negative and significant effect on earnings management, (3) the effect of earnings management on company performance is not significant (4) earnings management cannot mediate the effect of CSR on company performance.","author":[{"dropping-particle":"","family":"Rahmawardani","given":"Devi Dwi","non-dropping-particle":"","parse-names":false,"suffix":""},{"dropping-particle":"","family":"Muslichah","given":"Muslichah","non-dropping-particle":"","parse-names":false,"suffix":""}],"container-title":"Jurnal Riset Akuntansi Kontemporer","id":"ITEM-1","issue":"2","issued":{"date-parts":[["2020"]]},"page":"52-59","title":"Corporate Social Responsibility Terhadap Manajemen Laba Dan Kinerja Perusahaan","type":"article-journal","volume":"12"},"uris":["http://www.mendeley.com/documents/?uuid=5e7dfcae-80ec-495b-93d9-45e8c822fd67"]}],"mendeley":{"formattedCitation":"(Rahmawardani &amp; Muslichah, 2020)","plainTextFormattedCitation":"(Rahmawardani &amp; Muslichah, 2020)","previouslyFormattedCitation":"(Rahmawardani &amp; Muslichah, 2020)"},"properties":{"noteIndex":0},"schema":"https://github.com/citation-style-language/schema/raw/master/csl-citation.json"}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(Rahmawardani &amp; Muslichah, 2020)</w:t>
      </w:r>
      <w:r w:rsidR="00A437B1" w:rsidRPr="000860B8">
        <w:rPr>
          <w:rFonts w:ascii="Arial" w:hAnsi="Arial" w:cs="Arial"/>
        </w:rPr>
        <w:fldChar w:fldCharType="end"/>
      </w:r>
      <w:r w:rsidR="00A437B1" w:rsidRPr="000860B8">
        <w:rPr>
          <w:rFonts w:ascii="Arial" w:hAnsi="Arial" w:cs="Arial"/>
        </w:rPr>
        <w:t xml:space="preserve">. </w:t>
      </w:r>
      <w:r w:rsidR="0051500B" w:rsidRPr="000860B8">
        <w:rPr>
          <w:rFonts w:ascii="Arial" w:hAnsi="Arial" w:cs="Arial"/>
        </w:rPr>
        <w:t xml:space="preserve">The existence of Corporate Social Responsibility is expected to improve the company's image in the eyes of the public, reduce distrust and build better relationships with stakeholders </w:t>
      </w:r>
      <w:r w:rsidR="00A437B1" w:rsidRPr="000860B8">
        <w:rPr>
          <w:rFonts w:ascii="Arial" w:hAnsi="Arial" w:cs="Arial"/>
        </w:rPr>
        <w:fldChar w:fldCharType="begin" w:fldLock="1"/>
      </w:r>
      <w:r w:rsidR="00A437B1" w:rsidRPr="000860B8">
        <w:rPr>
          <w:rFonts w:ascii="Arial" w:hAnsi="Arial" w:cs="Arial"/>
        </w:rPr>
        <w:instrText>ADDIN CSL_CITATION {"citationItems":[{"id":"ITEM-1","itemData":{"abstract":"The objective of this research is to test and analyse the effect of real earning management to level of compliance of disclosure corporate social responsibility. Factors that measured in the affect of corporate social responsibility is real earning management with three proxy (abnormal cash flow from operation, abnormal production costs, and abnormal discretionary expenses. The research is designed with quantitative approach with hypothesis. The data used is quantitative data in the form of information about CSR activity and financial statement. The research object is manufacturing company that is listed in Indonesia Stock Exchange in 2013-2015. The data analysis technique that used in this research is multiple linear regression. The result of this research shows the abnormal cash flow from operation and abnormal discretionary expenses does not have significant effect to level compliance of disclosure corporate social responsibility. Abnormal production costs has significant positive effect to level compliance of disclosure corporate social responsibility, this is indicated by the mean value of abnormal production costs that positive, it’s showed real earning management through abnormal production costs. This shows that companies in Indonesia tends to increase profits through increased production that resulted to increased level of compliance of disclosure corporate social responsibility.","author":[{"dropping-particle":"","family":"Lau","given":"Serlina Kiik","non-dropping-particle":"","parse-names":false,"suffix":""},{"dropping-particle":"","family":"Lasdi","given":"Lodovicus","non-dropping-particle":"","parse-names":false,"suffix":""}],"container-title":"Jurnal Akuntansi Kontemporer (JAKO)","id":"ITEM-1","issue":"2","issued":{"date-parts":[["2017"]]},"page":"113-131","title":"Pengaruh Manajemen Laba Riil terhadap Tingkat Kepatuhan Pengungkapan Corporate Social Responsibility pada Perusahaan Manufaktur yang Terdaftar di Bursa Efek Indonesia","type":"article-journal","volume":"9"},"uris":["http://www.mendeley.com/documents/?uuid=69e8645c-eb75-4b3d-85f2-803e7a471b13"]}],"mendeley":{"formattedCitation":"(Lau &amp; Lasdi, 2017)","plainTextFormattedCitation":"(Lau &amp; Lasdi, 2017)","previouslyFormattedCitation":"(Lau &amp; Lasdi, 2017)"},"properties":{"noteIndex":0},"schema":"https://github.com/citation-style-language/schema/raw/master/csl-citation.json"}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(Lau &amp; Lasdi, 2017)</w:t>
      </w:r>
      <w:r w:rsidR="00A437B1" w:rsidRPr="000860B8">
        <w:rPr>
          <w:rFonts w:ascii="Arial" w:hAnsi="Arial" w:cs="Arial"/>
        </w:rPr>
        <w:fldChar w:fldCharType="end"/>
      </w:r>
      <w:r w:rsidR="00A437B1" w:rsidRPr="000860B8">
        <w:rPr>
          <w:rFonts w:ascii="Arial" w:hAnsi="Arial" w:cs="Arial"/>
        </w:rPr>
        <w:t xml:space="preserve">. </w:t>
      </w:r>
      <w:bookmarkEnd w:id="2"/>
      <w:r w:rsidR="0051500B" w:rsidRPr="000860B8">
        <w:rPr>
          <w:rFonts w:ascii="Arial" w:hAnsi="Arial" w:cs="Arial"/>
        </w:rPr>
        <w:t>Previous research conducted by</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{"citationItems":[{"id":"ITEM-1","itemData":{"DOI":"10.26740/akunesa.v10n2.p94-106","ISSN":"2302-1195","abstract":"This study aims to examine the effect of  CSR disclosure on profitability and earnings management. Purposive sampling is the method chosen in determining the sample in this study, so there are 66 samples of manufacturing companies which listed on the Indonesia Stock Exchange during the 2015-2017 period. Documentation and analysis are data collection techniques used in this study. The data analysis techniques used in this study is multiple liniear regression analysis using SPSS version 26.  The results of the first dependent variable study indicate that CSR disclosure affects company profitability. While the results of the second dependent variable research indicate that CSR disclosure does not affect earnings management.","author":[{"dropping-particle":"","family":"Solikhah","given":"Imroatus","non-dropping-particle":"","parse-names":false,"suffix":""}],"container-title":"Jurnal Akuntansi AKUNESA","id":"ITEM-1","issue":"2","issued":{"date-parts":[["2022"]]},"page":"94-106","title":"Pengaruh Pengungkapan Corporate Social Responsibility (CSR) Terhadap Profitabilitas dan Manajemen Laba (Studi Empiris Pada Perusahaan Manufaktur Yang Terdaftar Di Bursa Efek Indonesia (BEI) Tahun 2015-2017)","type":"article-journal","volume":"10"},"uris":["http://www.mendeley.com/documents/?uuid=47c99156-0baa-4d6f-9902-4d4b6122f53f"]}],"mendeley":{"formattedCitation":"(Solikhah, 2022)","plainTextFormattedCitation":"(Solikhah, 2022)","previouslyFormattedCitation":"(Solikhah, 2022)"},"properties":{"noteIndex":0},"schema":"https://github.com/citation-style-language/schema/raw/master/csl-citation.json"}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(Solikhah, 2022)</w:t>
      </w:r>
      <w:r w:rsidR="00A437B1" w:rsidRPr="000860B8">
        <w:rPr>
          <w:rFonts w:ascii="Arial" w:hAnsi="Arial" w:cs="Arial"/>
        </w:rPr>
        <w:fldChar w:fldCharType="end"/>
      </w:r>
      <w:r w:rsidR="00A437B1" w:rsidRPr="000860B8">
        <w:rPr>
          <w:rFonts w:ascii="Arial" w:hAnsi="Arial" w:cs="Arial"/>
        </w:rPr>
        <w:t xml:space="preserve"> </w:t>
      </w:r>
      <w:r w:rsidR="0051500B" w:rsidRPr="000860B8">
        <w:rPr>
          <w:rFonts w:ascii="Arial" w:hAnsi="Arial" w:cs="Arial"/>
        </w:rPr>
        <w:t>shows that corporate social responsibility has a positive effect on earnings management. The results of this study say that corporate social responsibility provides great opportunities for management or companies in managing earnings, where this image is used to cover earnings management actions. However, the results of this study are inconsistent with the results of research that has been conducted by</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{"citationItems":[{"id":"ITEM-1","itemData":{"DOI":"10.34208/jba.v22i1.628","ISSN":"1410-9875","abstract":"Tujuan penelitian ini adalah untuk menguji apakah pengungkapan CSR (Corporate Social Disclosure) berpengaruh terhadap manajemen laba yang dilakukan oleh manajemen perusahaan. Manajemen laba diukur dengan menentukan besarnya manajemen laba akrual yang dilakukan oleh perusahaan dengan menghitung nilai discretionary accrual dan untuk pengungkapan CSR menggunakan index GRI (Global Reporting Initiative). Sampel penelitian ini menggunakan perusahaan manufaktur yang terdaftar pada Bursa Efek Indonesia (BEI) selama tahun 2015-2017. Sampel dipilih menggunakan purposive sampling dan diperoleh 38 perusahaan yang memenuhi kriteria. Hipotesis diuji menggunakan regresi berganda. Hasil penelitian menunjukan bahwa pengungkapan terhadap CSR berpengaruh negatif terhadap manajemen laba.","author":[{"dropping-particle":"","family":"Alexander","given":"Nico","non-dropping-particle":"","parse-names":false,"suffix":""},{"dropping-particle":"","family":"Palupi","given":"Agustin","non-dropping-particle":"","parse-names":false,"suffix":""}],"container-title":"Jurnal Bisnis dan Akuntansi","id":"ITEM-1","issue":"1","issued":{"date-parts":[["2020"]]},"page":"105-112","title":"Pengaruh Corporate Social Responsibility Reporting Terhadap Manajemen Laba","type":"article-journal","volume":"22"},"uris":["http://www.mendeley.com/documents/?uuid=8644770e-88ec-4a74-a8c5-11468a0237c5"]}],"mendeley":{"formattedCitation":"(Alexander &amp; Palupi, 2020)","manualFormatting":"Alexander &amp; Palupi (2020)","plainTextFormattedCitation":"(Alexander &amp; Palupi, 2020)","previouslyFormattedCitation":"(Alexander &amp; Palupi, 2020)"},"properties":{"noteIndex":0},"schema":"https://github.com/citation-style-language/schema/raw/master/csl-citation.json"}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Alexander &amp; Palupi (2020)</w:t>
      </w:r>
      <w:r w:rsidR="00A437B1" w:rsidRPr="000860B8">
        <w:rPr>
          <w:rFonts w:ascii="Arial" w:hAnsi="Arial" w:cs="Arial"/>
        </w:rPr>
        <w:fldChar w:fldCharType="end"/>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{"citationItems":[{"id":"ITEM-1","itemData":{"DOI":"10.1108/JFRA-05-2017-0033","ISSN":"20425856","abstract":"Purpose: This paper aims to examine the impact of corporate social responsibility (CSR) on earnings management measured by discretionary accruals based on Dechow et al.’s (1995) model with cash flow from operation. Design/methodology/approach: This study uses a sample of 119 French non-financial companies listed on the CAC All Tradable index for the 2010-2014 period. All used regressions for the analysis are estimated based on panel data with random-effects. Findings: Based on a panel data of 595 French firm-year observations during the period 2010-2014, the authors find a negative impact of CSR on earnings management, and some CSR dimensions negatively impact earnings management. Practical implications: The results suggest several implications for regulatory in France, as well as those in other countries that try to implement CSR activities. Originality/value: The originality of this work lies in the division of CSR into sub-dimensions defined by the ISO 26000 standard. This division reduces the complexity of societal reality and obeys a coherent institutional logic. In addition, it enables the operationalization of CSR in a new way to determine the impact of CSR on earnings management.","author":[{"dropping-particle":"Ben","family":"Amar","given":"Anis","non-dropping-particle":"","parse-names":false,"suffix":""},{"dropping-particle":"","family":"Chakroun","given":"Salma","non-dropping-particle":"","parse-names":false,"suffix":""}],"container-title":"Journal of Financial Reporting and Accounting","id":"ITEM-1","issue":"2","issued":{"date-parts":[["2018"]]},"page":"348-370","title":"Do dimensions of corporate social responsibility affect earnings management?","type":"article-journal","volume":"16"},"uris":["http://www.mendeley.com/documents/?uuid=8cb8f427-e152-4bbf-8c75-b8593028f4b1"]}],"mendeley":{"formattedCitation":"(Amar &amp; Chakroun, 2018)","manualFormatting":"Amar &amp; Chakroun (2018)","plainTextFormattedCitation":"(Amar &amp; Chakroun, 2018)","previouslyFormattedCitation":"(Amar &amp; Chakroun, 2018)"},"properties":{"noteIndex":0},"schema":"https://github.com/citation-style-language/schema/raw/master/csl-citation.json"}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Amar &amp; Chakroun (2018)</w:t>
      </w:r>
      <w:r w:rsidR="00A437B1" w:rsidRPr="000860B8">
        <w:rPr>
          <w:rFonts w:ascii="Arial" w:hAnsi="Arial" w:cs="Arial"/>
        </w:rPr>
        <w:fldChar w:fldCharType="end"/>
      </w:r>
      <w:r w:rsidR="00A437B1" w:rsidRPr="000860B8">
        <w:rPr>
          <w:rFonts w:ascii="Arial" w:hAnsi="Arial" w:cs="Arial"/>
        </w:rPr>
        <w:t xml:space="preserve">, </w:t>
      </w:r>
      <w:r w:rsidR="0051500B" w:rsidRPr="000860B8">
        <w:rPr>
          <w:rFonts w:ascii="Arial" w:hAnsi="Arial" w:cs="Arial"/>
          <w:lang w:val="en-US"/>
        </w:rPr>
        <w:t>and</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{"citationItems":[{"id":"ITEM-1","itemData":{"DOI":"10.20473/baki.v2i1.3544","ISSN":"2459-9581","abstract":"Penelitian ini menguji pengaruh pengungkapan tanggung jawab sosial perusahaan terhadap tindakan manajemen laba, yaitu apakah perusahaan yang memiliki keperdulian yang tinggi terhadap tanggung jawab sosial dan lingkungan (perusahaan yang etis dan bereputasi baik) akan mengurangi kecenderungan managemen laba, yang justru berpotensi melemahkan kepercayaan investor terhadap kinerja manajer. Penelitian ini juga meneliti variabel pemoderasi yaitu dewan komisaris independen dan kepemilikan institusional, yang diduga dapat memperkuat pengaruh negatif antara pengungkapan CSR dan manajemen laba. Populasi dalam penelitian ini adalah perusahaan pertambangan yang terdaftar di BEI selama periode penelitian, karena sektor pertambangan merupakan sektor yang paling berpotensi merusak lingkungan. Analisis regresi digunakan untuk menguji hipotesis. Hasil penelitian menunjukkan bahwa keseluruhan hipotesis terdukung, pengungkapan CSR secara signifikan berhubungan negatif dengan  manajemen laba. Hal ini menunjukkan bahwa jika perusahaan mengungkapkan akuntabilitas sosial yang lebih luas (seperti pengungkapan CSR), maka manajemen laba akan menurun, hal ini disebabkan karena perusahaan yang memiliki pengungkapan yang lebih luas menunjukkan bahwa perusahaan tersebut adalah perusahaan yang transparan, dapat dipercaya dan berkomitmen terhadap sosial dan lingkungannya, sehingga cenderung tidak melakukan manajemen laba yang justru dapat merusak kepercayaan tersebut. Penelitian ini juga berhasil membuktikan bahwa komisaris independen dan kepemilikan institusional terbukti dapat menguatkan hubungan negatif antara CSR dan managemen laba melalui voting power dan pengawasan yang lebih intens yang mendorong pengungkapan CSR dan menurunkan kemungkinan tindakan manajemen laba. ","author":[{"dropping-particle":"","family":"Sembiring","given":"Carolyn Lukita","non-dropping-particle":"","parse-names":false,"suffix":""}],"container-title":"Berkala Akuntansi dan Keuangan Indonesia","id":"ITEM-1","issue":"1","issued":{"date-parts":[["2017"]]},"page":"20-41","title":"Manajemen Laba dan Pengungkapan Tanggung Jawab Sosial Perusahaan dengan Komisaris Independen dan Kepemilikan Institusional sebagai Variabel Pemoderasi","type":"article-journal","volume":"2"},"uris":["http://www.mendeley.com/documents/?uuid=8923895d-9d3e-43e4-a209-5d55dd2a8fb2"]}],"mendeley":{"formattedCitation":"(Sembiring, 2017)","manualFormatting":"Sembiring (2017)","plainTextFormattedCitation":"(Sembiring, 2017)","previouslyFormattedCitation":"(Sembiring, 2017)"},"properties":{"noteIndex":0},"schema":"https://github.com/citation-style-language/schema/raw/master/csl-citation.json"}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 xml:space="preserve">Sembiring </w:t>
      </w:r>
      <w:r w:rsidR="00A437B1" w:rsidRPr="000860B8">
        <w:rPr>
          <w:rFonts w:ascii="Arial" w:hAnsi="Arial" w:cs="Arial"/>
          <w:noProof/>
        </w:rPr>
        <w:lastRenderedPageBreak/>
        <w:t>(2017)</w:t>
      </w:r>
      <w:r w:rsidR="00A437B1" w:rsidRPr="000860B8">
        <w:rPr>
          <w:rFonts w:ascii="Arial" w:hAnsi="Arial" w:cs="Arial"/>
        </w:rPr>
        <w:fldChar w:fldCharType="end"/>
      </w:r>
      <w:r w:rsidR="00A437B1" w:rsidRPr="000860B8">
        <w:rPr>
          <w:rFonts w:ascii="Arial" w:hAnsi="Arial" w:cs="Arial"/>
        </w:rPr>
        <w:t xml:space="preserve"> </w:t>
      </w:r>
      <w:r w:rsidR="0051500B" w:rsidRPr="000860B8">
        <w:rPr>
          <w:rFonts w:ascii="Arial" w:hAnsi="Arial" w:cs="Arial"/>
        </w:rPr>
        <w:t>which proves that corporate social responsibility has a negative effect on earnings management. That is, the more transparent the information provided by the company to stakeholders, the smaller the chance for management to practice earnings management. From several studies that have been carried out, the results of the research show that there is an inconsistency (inconsistency).</w:t>
      </w:r>
    </w:p>
    <w:p w14:paraId="06803174" w14:textId="1C45015B" w:rsidR="00A437B1" w:rsidRPr="000860B8" w:rsidRDefault="0051500B" w:rsidP="000860B8">
      <w:pPr>
        <w:ind w:firstLine="667"/>
        <w:jc w:val="both"/>
        <w:rPr>
          <w:rFonts w:ascii="Arial" w:hAnsi="Arial" w:cs="Arial"/>
        </w:rPr>
      </w:pPr>
      <w:r w:rsidRPr="000860B8">
        <w:rPr>
          <w:rFonts w:ascii="Arial" w:hAnsi="Arial" w:cs="Arial"/>
        </w:rPr>
        <w:t>In theory,</w:t>
      </w:r>
      <w:r w:rsidR="00A437B1" w:rsidRPr="000860B8">
        <w:rPr>
          <w:rFonts w:ascii="Arial" w:hAnsi="Arial" w:cs="Arial"/>
        </w:rPr>
        <w:t xml:space="preserve">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{"citationItems":[{"id":"ITEM-1","itemData":{"DOI":"10.1177/0018726718812602","ISSN":"1741282X","abstract":"The benefits and drawbacks of diversity inside organizations have been the focus of attention for researchers and practitioners for several decades. In our article, we investigate the business case for racial diversity across different hierarchical levels. More precisely, we ask: How does racial diversity within organizations and its asymmetry across hierarchical levels affect their financial performance? From a sample of 143 US law firms from 2008 to 2012, we provide strong support for the business case and show that greater racial diversity for the entire organization is positively associated with firm financial performance. However, contrary to our initial expectations, the benefits of diversity are not more pronounced at the top of the organization, where its effects should arguably be more clearly observable. Diversity seems to have a similar effect across the three levels in law firms: associates, mid-level and partners. Furthermore, we find that the most profitable firms actually have their racial diversity heavily concentrated at the associate level. We discuss alternative explanations for this surprising finding and why the top-performing law firms have both overall higher degree of racial diversity and more concentration of its diversity at the lower level.","author":[{"dropping-particle":"","family":"Jensen","given":"Michael C","non-dropping-particle":"","parse-names":false,"suffix":""},{"dropping-particle":"","family":"Meckling","given":"William H","non-dropping-particle":"","parse-names":false,"suffix":""}],"container-title":"Journal of Financial Economics","id":"ITEM-1","issue":"4","issued":{"date-parts":[["1976"]]},"page":"305-360","title":"Theory of the Firm : Managerial Behavior, Agency Costs and Ownership Structure","type":"article-journal","volume":"3"},"uris":["http://www.mendeley.com/documents/?uuid=80ed9faa-ebe3-4b3e-b5b3-34bb77eab72d"]}],"mendeley":{"formattedCitation":"(Jensen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Jensen &amp; Meckling (1976)</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rPr>
        <w:t xml:space="preserve">defines the agency relationship as an agreement between the owner as the principal and the manager as the agent to carry out tasks according to the needs of the principal by entrusting decision-making authority to the agent. Agency theory refers to the emergence of information asymmetry between agents and principals, where agents have more and more accurate information than principals, so agents tend to convey good company conditions, even though sometimes the reality is not so supportive. On this basis, the agent performs earnings management </w:t>
      </w:r>
      <w:r w:rsidR="00A437B1" w:rsidRPr="000860B8">
        <w:rPr>
          <w:rFonts w:ascii="Arial" w:hAnsi="Arial" w:cs="Arial"/>
        </w:rPr>
        <w:fldChar w:fldCharType="begin" w:fldLock="1"/>
      </w:r>
      <w:r w:rsidR="00A437B1" w:rsidRPr="000860B8">
        <w:rPr>
          <w:rFonts w:ascii="Arial" w:hAnsi="Arial" w:cs="Arial"/>
        </w:rPr>
        <w:instrText>ADDIN CSL_CITATION {"citationItems":[{"id":"ITEM-1","itemData":{"DOI":"10.33395/owner.v6i1.466","ISSN":"2548-7507","abstract":"Financial statements are one of the sources of information used to assess the company's financial position and performance. Policies and decisions taken in the process of preparing financial statements will affect the assessment of the company's performance. The choice of accounting policy that management deliberately carried out for profit reporting purposes is called Earnings management. Earnings management is a difficult phenomenon to avoid due to the impact of accruals in the preparation of financial statements. The agency's theory provides the view that earnings management problems can be minimized through corporate governance. The purpose of this research is to provide empirical evidence by analyzing the influence of information asymmetry, the proportion of independent commissioners and the size of the board of commissioners on earnings management of SOEs companies in Indonesia during 2016-2018. Sampling techniques using purposive sampling, obtained 99 sample of STATE-owned enterprises in Indonesia . Data analysis techniques use data regression analysis panel e-views program 9. The data analysis tool uses the Random Effect Model (REM) analysis model. The results showed that the asymmetry of information, the proportion of independent board of commissioners and the size of the board of commissioners did not significantly affect earnings management of STATE-owned enterprises in Indonesia. \r Keywords: Information Asymmetry, Proportion of Independent Board of Commissioners, Size Of Board of Commissioners, Earnings Management\r Financial statements are one of the sources of information used to assess the company's financial position and performance. Policies and decisions taken in the process of preparing financial statements will affect the assessment of the company's performance. The choice of accounting policy that management deliberately carried out for profit reporting purposes is called Earnings management. Earnings management is a difficult phenomenon to avoid due to the impact of accruals in the preparation of financial statements. The agency's theory provides the view that earnings management problems can be minimized through corporate governance. The purpose of this research is to provide empirical evidence by analyzing the influence of information asymmetry, the proportion of independent commissioners and the size of the board of commissioners on earnings management of SOEs companies in Indonesia during 2016-2018. Sampling techniques using pur…","author":[{"dropping-particle":"","family":"Nurhayati","given":"Puji","non-dropping-particle":"","parse-names":false,"suffix":""},{"dropping-particle":"","family":"Devi","given":"Heidy Paramitha","non-dropping-particle":"","parse-names":false,"suffix":""},{"dropping-particle":"","family":"Azizah","given":"Amelia Marifatul","non-dropping-particle":"","parse-names":false,"suffix":""}],"container-title":"Owner","id":"ITEM-1","issue":"1","issued":{"date-parts":[["2022"]]},"page":"792-801","title":"Pengaruh asimetri informasi, corporate governance terhadap earning management pada perusahaan BUMN di Indonesia","type":"article-journal","volume":"6"},"uris":["http://www.mendeley.com/documents/?uuid=36759a16-3386-485b-9b3c-b9f95bda92a3"]}],"mendeley":{"formattedCitation":"(Nurhayati et al., 2022)","plainTextFormattedCitation":"(Nurhayati et al., 2022)","previouslyFormattedCitation":"(Nurhayati et al., 2022)"},"properties":{"noteIndex":0},"schema":"https://github.com/citation-style-language/schema/raw/master/csl-citation.json"}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 xml:space="preserve">(Nurhayati </w:t>
      </w:r>
      <w:r w:rsidR="00A437B1" w:rsidRPr="000860B8">
        <w:rPr>
          <w:rFonts w:ascii="Arial" w:hAnsi="Arial" w:cs="Arial"/>
          <w:i/>
          <w:iCs/>
          <w:noProof/>
        </w:rPr>
        <w:t>et al</w:t>
      </w:r>
      <w:r w:rsidR="00A437B1" w:rsidRPr="000860B8">
        <w:rPr>
          <w:rFonts w:ascii="Arial" w:hAnsi="Arial" w:cs="Arial"/>
          <w:noProof/>
        </w:rPr>
        <w:t>., 2022)</w:t>
      </w:r>
      <w:r w:rsidR="00A437B1" w:rsidRPr="000860B8">
        <w:rPr>
          <w:rFonts w:ascii="Arial" w:hAnsi="Arial" w:cs="Arial"/>
        </w:rPr>
        <w:fldChar w:fldCharType="end"/>
      </w:r>
      <w:r w:rsidR="00A437B1" w:rsidRPr="000860B8">
        <w:rPr>
          <w:rFonts w:ascii="Arial" w:hAnsi="Arial" w:cs="Arial"/>
        </w:rPr>
        <w:t>.</w:t>
      </w:r>
      <w:r w:rsidR="00D2435B" w:rsidRPr="000860B8">
        <w:rPr>
          <w:rFonts w:ascii="Arial" w:hAnsi="Arial" w:cs="Arial"/>
          <w:lang w:val="en-US"/>
        </w:rPr>
        <w:t xml:space="preserve"> </w:t>
      </w:r>
      <w:r w:rsidRPr="000860B8">
        <w:rPr>
          <w:rFonts w:ascii="Arial" w:hAnsi="Arial" w:cs="Arial"/>
        </w:rPr>
        <w:t xml:space="preserve">The audit committee is the right step to avoid earnings management practices that aim to create added value for all interested parties, so there is no conflict between agents and principals which reduces agency costs. </w:t>
      </w:r>
      <w:r w:rsidR="00A437B1" w:rsidRPr="000860B8">
        <w:rPr>
          <w:rFonts w:ascii="Arial" w:hAnsi="Arial" w:cs="Arial"/>
        </w:rPr>
        <w:fldChar w:fldCharType="begin" w:fldLock="1"/>
      </w:r>
      <w:r w:rsidR="00A437B1" w:rsidRPr="000860B8">
        <w:rPr>
          <w:rFonts w:ascii="Arial" w:hAnsi="Arial" w:cs="Arial"/>
        </w:rPr>
        <w:instrText>ADDIN CSL_CITATION {"citationItems":[{"id":"ITEM-1","itemData":{"abstract":"Income smoothing is carried out by the management is due to the divergence of interests between management and owners. In this regard, we need a monitoring mechanism through good corporate governance as a system that directs and controls the company. The annual financial statements for the 2009- 2012 term manufacturing companies listed on the Stock Exchange selected as the sample. Purposive sampling selected as the sampling technique while logistic regression is used as a data analysis tool. The results showed that the independent board, audit committee and managerial ownership does not have a significant impact on income smoothing, while the audit quality has a significant impact on income smoothing.","author":[{"dropping-particle":"","family":"Fauziah","given":"Yulfa Dwi","non-dropping-particle":"","parse-names":false,"suffix":""},{"dropping-particle":"","family":"Susilo","given":"Febriyanti","non-dropping-particle":"","parse-names":false,"suffix":""},{"dropping-particle":"","family":"Herimyetti","given":"Herimyetti","non-dropping-particle":"","parse-names":false,"suffix":""}],"container-title":"Junal Akuntansi","id":"ITEM-1","issue":"7","issued":{"date-parts":[["2021"]]},"page":"279-289","title":"Pengaruh Dewan Komisaris Independen, Komite Audit, Kompensasi Bonus, dan Financial Distress terhadap Manajemen Laba","type":"article-journal","volume":"2"},"uris":["http://www.mendeley.com/documents/?uuid=9bf423d0-9d72-461c-bdc0-ccfcdd447c29"]}],"mendeley":{"formattedCitation":"(Fauziah et al., 2021)","plainTextFormattedCitation":"(Fauziah et al., 2021)","previouslyFormattedCitation":"(Fauziah et al., 2021)"},"properties":{"noteIndex":0},"schema":"https://github.com/citation-style-language/schema/raw/master/csl-citation.json"}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 xml:space="preserve">(Fauziah </w:t>
      </w:r>
      <w:r w:rsidR="00A437B1" w:rsidRPr="000860B8">
        <w:rPr>
          <w:rFonts w:ascii="Arial" w:hAnsi="Arial" w:cs="Arial"/>
          <w:i/>
          <w:iCs/>
          <w:noProof/>
        </w:rPr>
        <w:t>et al</w:t>
      </w:r>
      <w:r w:rsidR="00A437B1" w:rsidRPr="000860B8">
        <w:rPr>
          <w:rFonts w:ascii="Arial" w:hAnsi="Arial" w:cs="Arial"/>
          <w:noProof/>
        </w:rPr>
        <w:t>., 2021)</w:t>
      </w:r>
      <w:r w:rsidR="00A437B1" w:rsidRPr="000860B8">
        <w:rPr>
          <w:rFonts w:ascii="Arial" w:hAnsi="Arial" w:cs="Arial"/>
        </w:rPr>
        <w:fldChar w:fldCharType="end"/>
      </w:r>
      <w:r w:rsidR="00A437B1" w:rsidRPr="000860B8">
        <w:rPr>
          <w:rFonts w:ascii="Arial" w:hAnsi="Arial" w:cs="Arial"/>
        </w:rPr>
        <w:t xml:space="preserve">. </w:t>
      </w:r>
      <w:r w:rsidRPr="000860B8">
        <w:rPr>
          <w:rFonts w:ascii="Arial" w:hAnsi="Arial" w:cs="Arial"/>
        </w:rPr>
        <w:t xml:space="preserve">In this study, agency theory is used to underlie the relationship between good corporate governance mechanisms through audit committees and earnings management practices, where audit committees can detect information asymmetries that exist through financial reports so as to improve oversight of earnings management practices. </w:t>
      </w:r>
      <w:r w:rsidR="00A437B1" w:rsidRPr="000860B8">
        <w:rPr>
          <w:rFonts w:ascii="Arial" w:hAnsi="Arial" w:cs="Arial"/>
        </w:rPr>
        <w:fldChar w:fldCharType="begin" w:fldLock="1"/>
      </w:r>
      <w:r w:rsidR="00A437B1" w:rsidRPr="000860B8">
        <w:rPr>
          <w:rFonts w:ascii="Arial" w:hAnsi="Arial" w:cs="Arial"/>
        </w:rPr>
        <w:instrText>ADDIN CSL_CITATION {"citationItems":[{"id":"ITEM-1","itemData":{"ISSN":"2337-3806","abstract":"This purpose of this study was to examine the effect of the audit committee on the disclosure of corporate social responsibility with the presence of risk management as a mediating variable. The audit committee is proxied by size, independence, meetings and financial expertise. The population used in this study are non-financial companies listed on the Indonesia Stock Exchange in 2016-2018. This study uses purposive sampling method with a total sample of 46 companies. The data used in this study uses secondary data taken from the annual reports and sustainability report of non financial companies. Multiple linerar regression was used as the analytical method. The results of the analysis show that the independence of the audit committee, the audit committee meeting has an indirect and not have a significant effect on the disclosure of corporate social responsibility which is mediated by risk management, and the audit committee's financial expertise and the size of the audit committee has an indirect and not have a significant effect on the disclosure of corporate social responsibility mediated by risk management.","author":[{"dropping-particle":"","family":"Ghina","given":"Irena","non-dropping-particle":"","parse-names":false,"suffix":""},{"dropping-particle":"","family":"Nasution","given":"Nazibah","non-dropping-particle":"","parse-names":false,"suffix":""},{"dropping-particle":"","family":"Prasetyo","given":"Andrian Budi","non-dropping-particle":"","parse-names":false,"suffix":""}],"container-title":"Diponegoro Journal of Accounting","id":"ITEM-1","issue":"3","issued":{"date-parts":[["2022"]]},"page":"1-15","title":"Pengaruh Komite Audit Terhadap Corporate Social Responsibility Melalui Keberadaan Manajemen Risiko","type":"article-journal","volume":"11"},"uris":["http://www.mendeley.com/documents/?uuid=17347a3c-62c1-475d-9d59-8e5eb028ff26"]}],"mendeley":{"formattedCitation":"(Ghina et al., 2022)","plainTextFormattedCitation":"(Ghina et al., 2022)","previouslyFormattedCitation":"(Ghina et al., 2022)"},"properties":{"noteIndex":0},"schema":"https://github.com/citation-style-language/schema/raw/master/csl-citation.json"}</w:instrText>
      </w:r>
      <w:r w:rsidR="00A437B1" w:rsidRPr="000860B8">
        <w:rPr>
          <w:rFonts w:ascii="Arial" w:hAnsi="Arial" w:cs="Arial"/>
        </w:rPr>
        <w:fldChar w:fldCharType="separate"/>
      </w:r>
      <w:r w:rsidR="00A437B1" w:rsidRPr="000860B8">
        <w:rPr>
          <w:rFonts w:ascii="Arial" w:hAnsi="Arial" w:cs="Arial"/>
          <w:noProof/>
        </w:rPr>
        <w:t xml:space="preserve">(Ghina </w:t>
      </w:r>
      <w:r w:rsidR="00A437B1" w:rsidRPr="000860B8">
        <w:rPr>
          <w:rFonts w:ascii="Arial" w:hAnsi="Arial" w:cs="Arial"/>
          <w:i/>
          <w:iCs/>
          <w:noProof/>
        </w:rPr>
        <w:t>et al</w:t>
      </w:r>
      <w:r w:rsidR="00A437B1" w:rsidRPr="000860B8">
        <w:rPr>
          <w:rFonts w:ascii="Arial" w:hAnsi="Arial" w:cs="Arial"/>
          <w:noProof/>
        </w:rPr>
        <w:t>., 2022)</w:t>
      </w:r>
      <w:r w:rsidR="00A437B1" w:rsidRPr="000860B8">
        <w:rPr>
          <w:rFonts w:ascii="Arial" w:hAnsi="Arial" w:cs="Arial"/>
        </w:rPr>
        <w:fldChar w:fldCharType="end"/>
      </w:r>
      <w:r w:rsidR="00A437B1" w:rsidRPr="000860B8">
        <w:rPr>
          <w:rFonts w:ascii="Arial" w:hAnsi="Arial" w:cs="Arial"/>
        </w:rPr>
        <w:t>.</w:t>
      </w:r>
    </w:p>
    <w:p w14:paraId="3780757A" w14:textId="77777777" w:rsidR="00810708" w:rsidRPr="000860B8" w:rsidRDefault="00A437B1" w:rsidP="000860B8">
      <w:pPr>
        <w:ind w:left="100" w:right="114" w:firstLine="567"/>
        <w:jc w:val="both"/>
        <w:rPr>
          <w:rFonts w:ascii="Arial" w:hAnsi="Arial" w:cs="Arial"/>
        </w:rPr>
      </w:pPr>
      <w:r w:rsidRPr="000860B8">
        <w:rPr>
          <w:rFonts w:ascii="Arial" w:hAnsi="Arial" w:cs="Arial"/>
        </w:rPr>
        <w:fldChar w:fldCharType="begin" w:fldLock="1"/>
      </w:r>
      <w:r w:rsidRPr="000860B8">
        <w:rPr>
          <w:rFonts w:ascii="Arial" w:hAnsi="Arial" w:cs="Arial"/>
        </w:rPr>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author":[{"dropping-particle":"","family":"Dowling","given":"John","non-dropping-particle":"","parse-names":false,"suffix":""},{"dropping-particle":"","family":"Pfeffer","given":"Jeffrey","non-dropping-particle":"","parse-names":false,"suffix":""}],"container-title":"The Pacific Sociological Review","id":"ITEM-1","issue":"1","issued":{"date-parts":[["1975"]]},"page":"122-136","title":"Organizational Legitimacy: Social Values and Organizational Behavior","type":"article-journal","volume":"18"},"uris":["http://www.mendeley.com/documents/?uuid=449f9b28-307b-4cc9-a167-72d863dbedf7"]}],"mendeley":{"formattedCitation":"(Dowling &amp; Pfeffer, 1975)","manualFormatting":"Dowling &amp; Pfeffer (1975)","plainTextFormattedCitation":"(Dowling &amp; Pfeffer, 1975)","previouslyFormattedCitation":"(Dowling &amp; Pfeffer, 1975)"},"properties":{"noteIndex":0},"schema":"https://github.com/citation-style-language/schema/raw/master/csl-citation.json"}</w:instrText>
      </w:r>
      <w:r w:rsidRPr="000860B8">
        <w:rPr>
          <w:rFonts w:ascii="Arial" w:hAnsi="Arial" w:cs="Arial"/>
        </w:rPr>
        <w:fldChar w:fldCharType="separate"/>
      </w:r>
      <w:r w:rsidRPr="000860B8">
        <w:rPr>
          <w:rFonts w:ascii="Arial" w:hAnsi="Arial" w:cs="Arial"/>
          <w:noProof/>
        </w:rPr>
        <w:t>Dowling &amp; Pfeffer (1975)</w:t>
      </w:r>
      <w:r w:rsidRPr="000860B8">
        <w:rPr>
          <w:rFonts w:ascii="Arial" w:hAnsi="Arial" w:cs="Arial"/>
        </w:rPr>
        <w:fldChar w:fldCharType="end"/>
      </w:r>
      <w:r w:rsidRPr="000860B8">
        <w:rPr>
          <w:rFonts w:ascii="Arial" w:hAnsi="Arial" w:cs="Arial"/>
        </w:rPr>
        <w:t xml:space="preserve"> </w:t>
      </w:r>
      <w:r w:rsidR="00810708" w:rsidRPr="000860B8">
        <w:rPr>
          <w:rFonts w:ascii="Arial" w:hAnsi="Arial" w:cs="Arial"/>
        </w:rPr>
        <w:t xml:space="preserve">explained that legitimacy theory is very useful in analyzing organizational behavior with boundaries emphasized by social values ​​and norms, as well as responses to these boundaries where it is important to analyze organizational behavior that respects the environment. Legitimacy is closely related to the company's relationship with the community. One of the company's efforts to get a positive assessment from the community is by disclosing its social responsibility. Disclosure of corporate social responsibility is considered as one of the right ways to gain legitimacy or support from the community. Companies must disclose their social activities by showing that the company's activities have gone well with existing social values </w:t>
      </w:r>
      <w:r w:rsidRPr="000860B8">
        <w:rPr>
          <w:rFonts w:ascii="Arial" w:hAnsi="Arial" w:cs="Arial"/>
        </w:rPr>
        <w:fldChar w:fldCharType="begin" w:fldLock="1"/>
      </w:r>
      <w:r w:rsidRPr="000860B8">
        <w:rPr>
          <w:rFonts w:ascii="Arial" w:hAnsi="Arial" w:cs="Arial"/>
        </w:rPr>
        <w:instrText>ADDIN CSL_CITATION {"citationItems":[{"id":"ITEM-1","itemData":{"author":[{"dropping-particle":"","family":"Isnabella","given":"Hasna","non-dropping-particle":"","parse-names":false,"suffix":""},{"dropping-particle":"","family":"Trisnawati","given":"Rina","non-dropping-particle":"","parse-names":false,"suffix":""}],"id":"ITEM-1","issue":"1","issued":{"date-parts":[["2022"]]},"page":"1191-1200","title":"Pengaruh Profitabilitas, Leverage, Enterprise Size, dan Komite Audit terhadap Pengungkapan Corporate Social Responsibility (Studi Empiris Pada Perusahaan Manufaktur Yang Terdaftar Di Bursa Efek Indonesia Periode 2018-2021)","type":"article-journal","volume":"11"},"uris":["http://www.mendeley.com/documents/?uuid=e9bf80e5-060d-49a7-b008-6e2f9af26a4a"]}],"mendeley":{"formattedCitation":"(Isnabella &amp; Trisnawati, 2022)","plainTextFormattedCitation":"(Isnabella &amp; Trisnawati, 2022)","previouslyFormattedCitation":"(Isnabella &amp; Trisnawati, 2022)"},"properties":{"noteIndex":0},"schema":"https://github.com/citation-style-language/schema/raw/master/csl-citation.json"}</w:instrText>
      </w:r>
      <w:r w:rsidRPr="000860B8">
        <w:rPr>
          <w:rFonts w:ascii="Arial" w:hAnsi="Arial" w:cs="Arial"/>
        </w:rPr>
        <w:fldChar w:fldCharType="separate"/>
      </w:r>
      <w:r w:rsidRPr="000860B8">
        <w:rPr>
          <w:rFonts w:ascii="Arial" w:hAnsi="Arial" w:cs="Arial"/>
          <w:noProof/>
        </w:rPr>
        <w:t>(Isnabella &amp; Trisnawati, 2022)</w:t>
      </w:r>
      <w:r w:rsidRPr="000860B8">
        <w:rPr>
          <w:rFonts w:ascii="Arial" w:hAnsi="Arial" w:cs="Arial"/>
        </w:rPr>
        <w:fldChar w:fldCharType="end"/>
      </w:r>
      <w:r w:rsidRPr="000860B8">
        <w:rPr>
          <w:rFonts w:ascii="Arial" w:hAnsi="Arial" w:cs="Arial"/>
        </w:rPr>
        <w:t xml:space="preserve">. </w:t>
      </w:r>
      <w:r w:rsidR="00810708" w:rsidRPr="000860B8">
        <w:rPr>
          <w:rFonts w:ascii="Arial" w:hAnsi="Arial" w:cs="Arial"/>
        </w:rPr>
        <w:t xml:space="preserve">With the disclosure of corporate social responsibility, the company's survival is good (going concern) and can be well received by the community so that it can improve company performance and can generate profits according to company targets </w:t>
      </w:r>
      <w:r w:rsidRPr="000860B8">
        <w:rPr>
          <w:rFonts w:ascii="Arial" w:hAnsi="Arial" w:cs="Arial"/>
        </w:rPr>
        <w:fldChar w:fldCharType="begin" w:fldLock="1"/>
      </w:r>
      <w:r w:rsidRPr="000860B8">
        <w:rPr>
          <w:rFonts w:ascii="Arial" w:hAnsi="Arial" w:cs="Arial"/>
        </w:rPr>
        <w:instrText>ADDIN CSL_CITATION {"citationItems":[{"id":"ITEM-1","itemData":{"DOI":"10.26740/akunesa.v10n2.p94-106","ISSN":"2302-1195","abstract":"This study aims to examine the effect of  CSR disclosure on profitability and earnings management. Purposive sampling is the method chosen in determining the sample in this study, so there are 66 samples of manufacturing companies which listed on the Indonesia Stock Exchange during the 2015-2017 period. Documentation and analysis are data collection techniques used in this study. The data analysis techniques used in this study is multiple liniear regression analysis using SPSS version 26.  The results of the first dependent variable study indicate that CSR disclosure affects company profitability. While the results of the second dependent variable research indicate that CSR disclosure does not affect earnings management.","author":[{"dropping-particle":"","family":"Solikhah","given":"Imroatus","non-dropping-particle":"","parse-names":false,"suffix":""}],"container-title":"Jurnal Akuntansi AKUNESA","id":"ITEM-1","issue":"2","issued":{"date-parts":[["2022"]]},"page":"94-106","title":"Pengaruh Pengungkapan Corporate Social Responsibility (CSR) Terhadap Profitabilitas dan Manajemen Laba (Studi Empiris Pada Perusahaan Manufaktur Yang Terdaftar Di Bursa Efek Indonesia (BEI) Tahun 2015-2017)","type":"article-journal","volume":"10"},"uris":["http://www.mendeley.com/documents/?uuid=47c99156-0baa-4d6f-9902-4d4b6122f53f"]}],"mendeley":{"formattedCitation":"(Solikhah, 2022)","plainTextFormattedCitation":"(Solikhah, 2022)","previouslyFormattedCitation":"(Solikhah, 2022)"},"properties":{"noteIndex":0},"schema":"https://github.com/citation-style-language/schema/raw/master/csl-citation.json"}</w:instrText>
      </w:r>
      <w:r w:rsidRPr="000860B8">
        <w:rPr>
          <w:rFonts w:ascii="Arial" w:hAnsi="Arial" w:cs="Arial"/>
        </w:rPr>
        <w:fldChar w:fldCharType="separate"/>
      </w:r>
      <w:r w:rsidRPr="000860B8">
        <w:rPr>
          <w:rFonts w:ascii="Arial" w:hAnsi="Arial" w:cs="Arial"/>
          <w:noProof/>
        </w:rPr>
        <w:t>(Solikhah, 2022)</w:t>
      </w:r>
      <w:r w:rsidRPr="000860B8">
        <w:rPr>
          <w:rFonts w:ascii="Arial" w:hAnsi="Arial" w:cs="Arial"/>
        </w:rPr>
        <w:fldChar w:fldCharType="end"/>
      </w:r>
      <w:r w:rsidRPr="000860B8">
        <w:rPr>
          <w:rFonts w:ascii="Arial" w:hAnsi="Arial" w:cs="Arial"/>
        </w:rPr>
        <w:t xml:space="preserve">. </w:t>
      </w:r>
      <w:r w:rsidR="00810708" w:rsidRPr="000860B8">
        <w:rPr>
          <w:rFonts w:ascii="Arial" w:hAnsi="Arial" w:cs="Arial"/>
        </w:rPr>
        <w:t>Based on this theory, the disclosure of corporate social responsibility of a company gets a positive value from the community, that is, the community assesses the company's performance as good so that it does not practice earnings management.</w:t>
      </w:r>
    </w:p>
    <w:p w14:paraId="67B5D16C" w14:textId="77777777" w:rsidR="00D2435B" w:rsidRPr="000860B8" w:rsidRDefault="00810708" w:rsidP="000860B8">
      <w:pPr>
        <w:ind w:left="100" w:right="114" w:firstLine="567"/>
        <w:jc w:val="both"/>
        <w:rPr>
          <w:rFonts w:ascii="Arial" w:hAnsi="Arial" w:cs="Arial"/>
          <w:lang w:val="en-US"/>
        </w:rPr>
      </w:pPr>
      <w:r w:rsidRPr="000860B8">
        <w:rPr>
          <w:rFonts w:ascii="Arial" w:hAnsi="Arial" w:cs="Arial"/>
        </w:rPr>
        <w:t xml:space="preserve">The purpose of this study is to provide empirical evidence of the influence of the frequency of audit committee meetings and disclosure of corporate social responsibility (CSR) on earnings management. There are several benefits that can be provided from this research. First, for investors it can be used as a basis for input and consideration in making decisions on investment, especially the factors that affect the increase in earnings management. Second, for the government to support and monitor company operations through the OJK (Financial Services Authority) related to regulations regarding disclosure of corporate social responsibility. Third, for companies it is hoped that the results of this research can provide inspiration for </w:t>
      </w:r>
      <w:r w:rsidRPr="000860B8">
        <w:rPr>
          <w:rFonts w:ascii="Arial" w:hAnsi="Arial" w:cs="Arial"/>
        </w:rPr>
        <w:lastRenderedPageBreak/>
        <w:t>business management practitioners to understand the mechanisms of good corporate governance through audit committees and corporate social responsibility (CSR) disclosures, as well as earnings management practices</w:t>
      </w:r>
      <w:r w:rsidR="007419F5" w:rsidRPr="000860B8">
        <w:rPr>
          <w:rFonts w:ascii="Arial" w:hAnsi="Arial" w:cs="Arial"/>
          <w:lang w:val="en-US"/>
        </w:rPr>
        <w:t>.</w:t>
      </w:r>
    </w:p>
    <w:p w14:paraId="3AC50956" w14:textId="77777777" w:rsidR="00810708" w:rsidRPr="000860B8" w:rsidRDefault="00810708" w:rsidP="000860B8">
      <w:pPr>
        <w:ind w:left="100" w:right="114" w:firstLine="567"/>
        <w:jc w:val="both"/>
        <w:rPr>
          <w:rFonts w:ascii="Arial" w:hAnsi="Arial" w:cs="Arial"/>
          <w:lang w:val="en-US"/>
        </w:rPr>
      </w:pPr>
    </w:p>
    <w:p w14:paraId="3E2537E7" w14:textId="77777777" w:rsidR="00810708" w:rsidRPr="000860B8" w:rsidRDefault="00810708" w:rsidP="000860B8">
      <w:pPr>
        <w:pStyle w:val="Heading1"/>
        <w:ind w:left="0" w:right="3"/>
      </w:pPr>
      <w:r w:rsidRPr="000860B8">
        <w:t>METHODS</w:t>
      </w:r>
    </w:p>
    <w:p w14:paraId="109A3BFF" w14:textId="77777777" w:rsidR="00EC09D7" w:rsidRPr="000860B8" w:rsidRDefault="00EC09D7" w:rsidP="000860B8">
      <w:pPr>
        <w:ind w:firstLine="720"/>
        <w:jc w:val="both"/>
        <w:rPr>
          <w:rFonts w:ascii="Arial" w:eastAsia="Times New Roman" w:hAnsi="Arial" w:cs="Arial"/>
          <w:lang w:val="en-US"/>
        </w:rPr>
      </w:pPr>
      <w:r w:rsidRPr="000860B8">
        <w:rPr>
          <w:rFonts w:ascii="Arial" w:eastAsia="Times New Roman" w:hAnsi="Arial" w:cs="Arial"/>
          <w:lang w:val="en-US"/>
        </w:rPr>
        <w:t>This research is a type of research that uses quantitative research. Quantitative data was obtained from www.idx.co.id or the company's official website. The data sources used in this study come from annual reports to see the frequency of audit committee meetings and sustainability reports to see corporate social responsibility disclosures for companies in the manufacturing sector listed on the Indonesia Stock Exchange (IDX) in 2021.</w:t>
      </w:r>
    </w:p>
    <w:p w14:paraId="5601E158" w14:textId="79E182BE" w:rsidR="00810708" w:rsidRDefault="00EC09D7"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 xml:space="preserve">The population in this study are companies engaged in the manufacturing sector which are listed on the Indonesia Stock Exchange (IDX) in 2019, 2020 and 2021. Manufacturing sector companies are a sector that is sensitive to environmental pollution, for example the results of factory waste disposal every day so that CSR disclosure plays an important role in companies in this sector. This sample was selected using a purposive sampling method, namely sampling specifically according to certain considerations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{"citationItems":[{"id":"ITEM-1","itemData":{"author":[{"dropping-particle":"","family":"Sugiyono","given":"Sugiyono","non-dropping-particle":"","parse-names":false,"suffix":""}],"id":"ITEM-1","issued":{"date-parts":[["2018"]]},"number-of-pages":"122-193","title":"Metode Penelitian Bisnis","type":"book"},"uris":["http://www.mendeley.com/documents/?uuid=35aea455-e4a0-446f-851f-c580275e0f44"]}],"mendeley":{"formattedCitation":"(Sugiyono, 2018)","plainTextFormattedCitation":"(Sugiyono, 2018)","previouslyFormattedCitation":"(Sugiyono, 2018)"},"properties":{"noteIndex":0},"schema":"https://github.com/citation-style-language/schema/raw/master/csl-citation.json"}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(Sugiyono, 2018)</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The criteria in determining the sample of this study are:</w:t>
      </w:r>
    </w:p>
    <w:p w14:paraId="332E31B6" w14:textId="77777777" w:rsidR="000860B8" w:rsidRPr="000860B8" w:rsidRDefault="000860B8" w:rsidP="000860B8">
      <w:pPr>
        <w:pStyle w:val="NormalWeb"/>
        <w:shd w:val="clear" w:color="auto" w:fill="FFFFFF"/>
        <w:spacing w:before="0" w:beforeAutospacing="0" w:after="0" w:afterAutospacing="0"/>
        <w:ind w:firstLine="720"/>
        <w:jc w:val="both"/>
        <w:rPr>
          <w:rFonts w:ascii="Arial" w:hAnsi="Arial" w:cs="Arial"/>
          <w:sz w:val="22"/>
          <w:szCs w:val="22"/>
        </w:rPr>
      </w:pPr>
    </w:p>
    <w:p w14:paraId="212ED45F" w14:textId="4289B3EA" w:rsidR="00810708" w:rsidRPr="000860B8" w:rsidRDefault="004D76C7"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Table 1. Sampling Criteria</w:t>
      </w:r>
    </w:p>
    <w:tbl>
      <w:tblPr>
        <w:tblStyle w:val="PlainTable2"/>
        <w:tblW w:w="0" w:type="auto"/>
        <w:jc w:val="center"/>
        <w:tblLook w:val="04A0" w:firstRow="1" w:lastRow="0" w:firstColumn="1" w:lastColumn="0" w:noHBand="0" w:noVBand="1"/>
      </w:tblPr>
      <w:tblGrid>
        <w:gridCol w:w="625"/>
        <w:gridCol w:w="5850"/>
        <w:gridCol w:w="1452"/>
      </w:tblGrid>
      <w:tr w:rsidR="00810708" w:rsidRPr="000860B8" w14:paraId="629A2C7B" w14:textId="77777777" w:rsidTr="001D54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1C960D77" w14:textId="77777777" w:rsidR="00810708" w:rsidRPr="000860B8" w:rsidRDefault="00810708" w:rsidP="000860B8">
            <w:pPr>
              <w:pStyle w:val="NormalWeb"/>
              <w:spacing w:before="0" w:beforeAutospacing="0" w:after="0" w:afterAutospacing="0"/>
              <w:jc w:val="both"/>
              <w:rPr>
                <w:rFonts w:ascii="Arial" w:hAnsi="Arial" w:cs="Arial"/>
                <w:b w:val="0"/>
                <w:bCs w:val="0"/>
                <w:sz w:val="20"/>
                <w:szCs w:val="20"/>
              </w:rPr>
            </w:pPr>
            <w:r w:rsidRPr="000860B8">
              <w:rPr>
                <w:rFonts w:ascii="Arial" w:hAnsi="Arial" w:cs="Arial"/>
                <w:b w:val="0"/>
                <w:bCs w:val="0"/>
                <w:sz w:val="20"/>
                <w:szCs w:val="20"/>
              </w:rPr>
              <w:t xml:space="preserve">No </w:t>
            </w:r>
          </w:p>
        </w:tc>
        <w:tc>
          <w:tcPr>
            <w:tcW w:w="5850" w:type="dxa"/>
          </w:tcPr>
          <w:p w14:paraId="438F569C" w14:textId="4E45B004" w:rsidR="00810708" w:rsidRPr="000860B8" w:rsidRDefault="004D76C7" w:rsidP="000860B8">
            <w:pPr>
              <w:pStyle w:val="NormalWeb"/>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860B8">
              <w:rPr>
                <w:rFonts w:ascii="Arial" w:hAnsi="Arial" w:cs="Arial"/>
                <w:b w:val="0"/>
                <w:bCs w:val="0"/>
                <w:sz w:val="20"/>
                <w:szCs w:val="20"/>
              </w:rPr>
              <w:t>Criteria</w:t>
            </w:r>
          </w:p>
        </w:tc>
        <w:tc>
          <w:tcPr>
            <w:tcW w:w="1452" w:type="dxa"/>
          </w:tcPr>
          <w:p w14:paraId="6CFA8A57" w14:textId="164CD9B1" w:rsidR="00810708" w:rsidRPr="000860B8" w:rsidRDefault="00810708" w:rsidP="000860B8">
            <w:pPr>
              <w:pStyle w:val="NormalWeb"/>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0860B8">
              <w:rPr>
                <w:rFonts w:ascii="Arial" w:hAnsi="Arial" w:cs="Arial"/>
                <w:b w:val="0"/>
                <w:bCs w:val="0"/>
                <w:sz w:val="20"/>
                <w:szCs w:val="20"/>
              </w:rPr>
              <w:t>Sam</w:t>
            </w:r>
            <w:r w:rsidR="00284ED1" w:rsidRPr="000860B8">
              <w:rPr>
                <w:rFonts w:ascii="Arial" w:hAnsi="Arial" w:cs="Arial"/>
                <w:b w:val="0"/>
                <w:bCs w:val="0"/>
                <w:sz w:val="20"/>
                <w:szCs w:val="20"/>
              </w:rPr>
              <w:t>ple</w:t>
            </w:r>
          </w:p>
        </w:tc>
      </w:tr>
      <w:tr w:rsidR="00810708" w:rsidRPr="000860B8" w14:paraId="2CD9EE04" w14:textId="77777777" w:rsidTr="001D54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Borders>
              <w:bottom w:val="nil"/>
            </w:tcBorders>
          </w:tcPr>
          <w:p w14:paraId="4FA954B5" w14:textId="77777777" w:rsidR="00810708" w:rsidRPr="000860B8" w:rsidRDefault="00810708" w:rsidP="000860B8">
            <w:pPr>
              <w:pStyle w:val="NormalWeb"/>
              <w:spacing w:before="0" w:beforeAutospacing="0" w:after="0" w:afterAutospacing="0"/>
              <w:jc w:val="both"/>
              <w:rPr>
                <w:rFonts w:ascii="Arial" w:hAnsi="Arial" w:cs="Arial"/>
                <w:b w:val="0"/>
                <w:bCs w:val="0"/>
                <w:sz w:val="20"/>
                <w:szCs w:val="20"/>
              </w:rPr>
            </w:pPr>
            <w:r w:rsidRPr="000860B8">
              <w:rPr>
                <w:rFonts w:ascii="Arial" w:hAnsi="Arial" w:cs="Arial"/>
                <w:b w:val="0"/>
                <w:bCs w:val="0"/>
                <w:sz w:val="20"/>
                <w:szCs w:val="20"/>
              </w:rPr>
              <w:t>1</w:t>
            </w:r>
          </w:p>
        </w:tc>
        <w:tc>
          <w:tcPr>
            <w:tcW w:w="5850" w:type="dxa"/>
            <w:tcBorders>
              <w:bottom w:val="nil"/>
            </w:tcBorders>
          </w:tcPr>
          <w:p w14:paraId="2E237E6B" w14:textId="6212C619" w:rsidR="00810708" w:rsidRPr="000860B8" w:rsidRDefault="004D76C7" w:rsidP="000860B8">
            <w:pPr>
              <w:pStyle w:val="NormalWeb"/>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60B8">
              <w:rPr>
                <w:rFonts w:ascii="Arial" w:hAnsi="Arial" w:cs="Arial"/>
                <w:sz w:val="20"/>
                <w:szCs w:val="20"/>
              </w:rPr>
              <w:t>Companies engaged in the manufacturing sector listed on the Indonesia Stock Exchange (IDX) in 2019, 2020 and 2021.</w:t>
            </w:r>
          </w:p>
        </w:tc>
        <w:tc>
          <w:tcPr>
            <w:tcW w:w="1452" w:type="dxa"/>
            <w:tcBorders>
              <w:bottom w:val="nil"/>
            </w:tcBorders>
          </w:tcPr>
          <w:p w14:paraId="22B5A078" w14:textId="77777777" w:rsidR="00810708" w:rsidRPr="000860B8" w:rsidRDefault="00810708" w:rsidP="000860B8">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60B8">
              <w:rPr>
                <w:rFonts w:ascii="Arial" w:hAnsi="Arial" w:cs="Arial"/>
                <w:sz w:val="20"/>
                <w:szCs w:val="20"/>
              </w:rPr>
              <w:t>225</w:t>
            </w:r>
          </w:p>
        </w:tc>
      </w:tr>
      <w:tr w:rsidR="00810708" w:rsidRPr="000860B8" w14:paraId="2D320DCA" w14:textId="77777777" w:rsidTr="001D54D0">
        <w:trPr>
          <w:jc w:val="center"/>
        </w:trPr>
        <w:tc>
          <w:tcPr>
            <w:cnfStyle w:val="001000000000" w:firstRow="0" w:lastRow="0" w:firstColumn="1" w:lastColumn="0" w:oddVBand="0" w:evenVBand="0" w:oddHBand="0" w:evenHBand="0" w:firstRowFirstColumn="0" w:firstRowLastColumn="0" w:lastRowFirstColumn="0" w:lastRowLastColumn="0"/>
            <w:tcW w:w="625" w:type="dxa"/>
            <w:tcBorders>
              <w:top w:val="nil"/>
              <w:bottom w:val="nil"/>
            </w:tcBorders>
          </w:tcPr>
          <w:p w14:paraId="3F8CE1CD" w14:textId="77777777" w:rsidR="00810708" w:rsidRPr="000860B8" w:rsidRDefault="00810708" w:rsidP="000860B8">
            <w:pPr>
              <w:pStyle w:val="NormalWeb"/>
              <w:spacing w:before="0" w:beforeAutospacing="0" w:after="0" w:afterAutospacing="0"/>
              <w:jc w:val="both"/>
              <w:rPr>
                <w:rFonts w:ascii="Arial" w:hAnsi="Arial" w:cs="Arial"/>
                <w:b w:val="0"/>
                <w:bCs w:val="0"/>
                <w:sz w:val="20"/>
                <w:szCs w:val="20"/>
              </w:rPr>
            </w:pPr>
            <w:r w:rsidRPr="000860B8">
              <w:rPr>
                <w:rFonts w:ascii="Arial" w:hAnsi="Arial" w:cs="Arial"/>
                <w:b w:val="0"/>
                <w:bCs w:val="0"/>
                <w:sz w:val="20"/>
                <w:szCs w:val="20"/>
              </w:rPr>
              <w:t>2</w:t>
            </w:r>
          </w:p>
        </w:tc>
        <w:tc>
          <w:tcPr>
            <w:tcW w:w="5850" w:type="dxa"/>
            <w:tcBorders>
              <w:top w:val="nil"/>
              <w:bottom w:val="nil"/>
            </w:tcBorders>
          </w:tcPr>
          <w:p w14:paraId="1ABF40DA" w14:textId="50C032AA" w:rsidR="00810708" w:rsidRPr="000860B8" w:rsidRDefault="004D76C7" w:rsidP="000860B8">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860B8">
              <w:rPr>
                <w:rFonts w:ascii="Arial" w:hAnsi="Arial" w:cs="Arial"/>
                <w:sz w:val="20"/>
                <w:szCs w:val="20"/>
              </w:rPr>
              <w:t>Companies that publish annual reports for 2019, 2020 and 2021.</w:t>
            </w:r>
          </w:p>
        </w:tc>
        <w:tc>
          <w:tcPr>
            <w:tcW w:w="1452" w:type="dxa"/>
            <w:tcBorders>
              <w:top w:val="nil"/>
              <w:bottom w:val="nil"/>
            </w:tcBorders>
          </w:tcPr>
          <w:p w14:paraId="3627BAB2" w14:textId="77777777" w:rsidR="00810708" w:rsidRPr="000860B8" w:rsidRDefault="00810708" w:rsidP="000860B8">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860B8">
              <w:rPr>
                <w:rFonts w:ascii="Arial" w:hAnsi="Arial" w:cs="Arial"/>
                <w:sz w:val="20"/>
                <w:szCs w:val="20"/>
              </w:rPr>
              <w:t>128</w:t>
            </w:r>
          </w:p>
        </w:tc>
      </w:tr>
      <w:tr w:rsidR="00810708" w:rsidRPr="000860B8" w14:paraId="62E3A8FD" w14:textId="77777777" w:rsidTr="001D54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Borders>
              <w:top w:val="nil"/>
              <w:bottom w:val="nil"/>
            </w:tcBorders>
          </w:tcPr>
          <w:p w14:paraId="7447D107" w14:textId="77777777" w:rsidR="00810708" w:rsidRPr="000860B8" w:rsidRDefault="00810708" w:rsidP="000860B8">
            <w:pPr>
              <w:pStyle w:val="NormalWeb"/>
              <w:spacing w:before="0" w:beforeAutospacing="0" w:after="0" w:afterAutospacing="0"/>
              <w:jc w:val="both"/>
              <w:rPr>
                <w:rFonts w:ascii="Arial" w:hAnsi="Arial" w:cs="Arial"/>
                <w:b w:val="0"/>
                <w:bCs w:val="0"/>
                <w:sz w:val="20"/>
                <w:szCs w:val="20"/>
              </w:rPr>
            </w:pPr>
            <w:r w:rsidRPr="000860B8">
              <w:rPr>
                <w:rFonts w:ascii="Arial" w:hAnsi="Arial" w:cs="Arial"/>
                <w:b w:val="0"/>
                <w:bCs w:val="0"/>
                <w:sz w:val="20"/>
                <w:szCs w:val="20"/>
              </w:rPr>
              <w:t>3</w:t>
            </w:r>
          </w:p>
        </w:tc>
        <w:tc>
          <w:tcPr>
            <w:tcW w:w="5850" w:type="dxa"/>
            <w:tcBorders>
              <w:top w:val="nil"/>
              <w:bottom w:val="nil"/>
            </w:tcBorders>
          </w:tcPr>
          <w:p w14:paraId="022AE0CC" w14:textId="46AA9E56" w:rsidR="00810708" w:rsidRPr="000860B8" w:rsidRDefault="004D76C7" w:rsidP="000860B8">
            <w:pPr>
              <w:pStyle w:val="NormalWeb"/>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60B8">
              <w:rPr>
                <w:rFonts w:ascii="Arial" w:hAnsi="Arial" w:cs="Arial"/>
                <w:sz w:val="20"/>
                <w:szCs w:val="20"/>
              </w:rPr>
              <w:t>The financial statements in the company's annual report are presented in Rupiah.</w:t>
            </w:r>
          </w:p>
        </w:tc>
        <w:tc>
          <w:tcPr>
            <w:tcW w:w="1452" w:type="dxa"/>
            <w:tcBorders>
              <w:top w:val="nil"/>
              <w:bottom w:val="nil"/>
            </w:tcBorders>
          </w:tcPr>
          <w:p w14:paraId="41FEB146" w14:textId="77777777" w:rsidR="00810708" w:rsidRPr="000860B8" w:rsidRDefault="00810708" w:rsidP="000860B8">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60B8">
              <w:rPr>
                <w:rFonts w:ascii="Arial" w:hAnsi="Arial" w:cs="Arial"/>
                <w:sz w:val="20"/>
                <w:szCs w:val="20"/>
              </w:rPr>
              <w:t>98</w:t>
            </w:r>
          </w:p>
        </w:tc>
      </w:tr>
      <w:tr w:rsidR="00810708" w:rsidRPr="000860B8" w14:paraId="2C7E5C87" w14:textId="77777777" w:rsidTr="001D54D0">
        <w:trPr>
          <w:jc w:val="center"/>
        </w:trPr>
        <w:tc>
          <w:tcPr>
            <w:cnfStyle w:val="001000000000" w:firstRow="0" w:lastRow="0" w:firstColumn="1" w:lastColumn="0" w:oddVBand="0" w:evenVBand="0" w:oddHBand="0" w:evenHBand="0" w:firstRowFirstColumn="0" w:firstRowLastColumn="0" w:lastRowFirstColumn="0" w:lastRowLastColumn="0"/>
            <w:tcW w:w="625" w:type="dxa"/>
            <w:tcBorders>
              <w:top w:val="nil"/>
              <w:bottom w:val="nil"/>
            </w:tcBorders>
          </w:tcPr>
          <w:p w14:paraId="52D6EB98" w14:textId="77777777" w:rsidR="00810708" w:rsidRPr="000860B8" w:rsidRDefault="00810708" w:rsidP="000860B8">
            <w:pPr>
              <w:pStyle w:val="NormalWeb"/>
              <w:spacing w:before="0" w:beforeAutospacing="0" w:after="0" w:afterAutospacing="0"/>
              <w:jc w:val="both"/>
              <w:rPr>
                <w:rFonts w:ascii="Arial" w:hAnsi="Arial" w:cs="Arial"/>
                <w:b w:val="0"/>
                <w:bCs w:val="0"/>
                <w:sz w:val="20"/>
                <w:szCs w:val="20"/>
              </w:rPr>
            </w:pPr>
            <w:r w:rsidRPr="000860B8">
              <w:rPr>
                <w:rFonts w:ascii="Arial" w:hAnsi="Arial" w:cs="Arial"/>
                <w:b w:val="0"/>
                <w:bCs w:val="0"/>
                <w:sz w:val="20"/>
                <w:szCs w:val="20"/>
              </w:rPr>
              <w:t>4</w:t>
            </w:r>
          </w:p>
        </w:tc>
        <w:tc>
          <w:tcPr>
            <w:tcW w:w="5850" w:type="dxa"/>
            <w:tcBorders>
              <w:top w:val="nil"/>
              <w:bottom w:val="nil"/>
            </w:tcBorders>
          </w:tcPr>
          <w:p w14:paraId="1A18FF76" w14:textId="41206DB0" w:rsidR="00810708" w:rsidRPr="000860B8" w:rsidRDefault="004D76C7" w:rsidP="000860B8">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860B8">
              <w:rPr>
                <w:rFonts w:ascii="Arial" w:hAnsi="Arial" w:cs="Arial"/>
                <w:sz w:val="20"/>
                <w:szCs w:val="20"/>
              </w:rPr>
              <w:t>Companies that present complete data according to the variables (audit committee information and CSR) in this study.</w:t>
            </w:r>
          </w:p>
        </w:tc>
        <w:tc>
          <w:tcPr>
            <w:tcW w:w="1452" w:type="dxa"/>
            <w:tcBorders>
              <w:top w:val="nil"/>
              <w:bottom w:val="nil"/>
            </w:tcBorders>
          </w:tcPr>
          <w:p w14:paraId="4C0D1228" w14:textId="77777777" w:rsidR="00810708" w:rsidRPr="000860B8" w:rsidRDefault="00810708" w:rsidP="000860B8">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860B8">
              <w:rPr>
                <w:rFonts w:ascii="Arial" w:hAnsi="Arial" w:cs="Arial"/>
                <w:sz w:val="20"/>
                <w:szCs w:val="20"/>
              </w:rPr>
              <w:t>128</w:t>
            </w:r>
          </w:p>
        </w:tc>
      </w:tr>
      <w:tr w:rsidR="00810708" w:rsidRPr="000860B8" w14:paraId="788BEFA3" w14:textId="77777777" w:rsidTr="001D54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75" w:type="dxa"/>
            <w:gridSpan w:val="2"/>
            <w:tcBorders>
              <w:top w:val="nil"/>
            </w:tcBorders>
          </w:tcPr>
          <w:p w14:paraId="06B07246" w14:textId="1B8F410C" w:rsidR="00810708" w:rsidRPr="000860B8" w:rsidRDefault="00284ED1" w:rsidP="000860B8">
            <w:pPr>
              <w:pStyle w:val="NormalWeb"/>
              <w:spacing w:before="0" w:beforeAutospacing="0" w:after="0" w:afterAutospacing="0"/>
              <w:jc w:val="both"/>
              <w:rPr>
                <w:rFonts w:ascii="Arial" w:hAnsi="Arial" w:cs="Arial"/>
                <w:b w:val="0"/>
                <w:bCs w:val="0"/>
                <w:sz w:val="20"/>
                <w:szCs w:val="20"/>
              </w:rPr>
            </w:pPr>
            <w:r w:rsidRPr="000860B8">
              <w:rPr>
                <w:rFonts w:ascii="Arial" w:hAnsi="Arial" w:cs="Arial"/>
                <w:b w:val="0"/>
                <w:bCs w:val="0"/>
                <w:sz w:val="20"/>
                <w:szCs w:val="20"/>
              </w:rPr>
              <w:t>Number of Samples</w:t>
            </w:r>
          </w:p>
        </w:tc>
        <w:tc>
          <w:tcPr>
            <w:tcW w:w="1452" w:type="dxa"/>
            <w:tcBorders>
              <w:top w:val="nil"/>
            </w:tcBorders>
          </w:tcPr>
          <w:p w14:paraId="3A1CA8FE" w14:textId="77777777" w:rsidR="00810708" w:rsidRPr="000860B8" w:rsidRDefault="00810708" w:rsidP="000860B8">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860B8">
              <w:rPr>
                <w:rFonts w:ascii="Arial" w:hAnsi="Arial" w:cs="Arial"/>
                <w:b/>
                <w:bCs/>
                <w:sz w:val="20"/>
                <w:szCs w:val="20"/>
              </w:rPr>
              <w:t>128</w:t>
            </w:r>
          </w:p>
        </w:tc>
      </w:tr>
    </w:tbl>
    <w:p w14:paraId="0F5E080E" w14:textId="77777777" w:rsidR="00284ED1" w:rsidRPr="000860B8" w:rsidRDefault="00284ED1" w:rsidP="000860B8">
      <w:pPr>
        <w:pStyle w:val="NormalWeb"/>
        <w:shd w:val="clear" w:color="auto" w:fill="FFFFFF"/>
        <w:spacing w:before="0" w:beforeAutospacing="0" w:after="0" w:afterAutospacing="0"/>
        <w:jc w:val="center"/>
        <w:rPr>
          <w:rFonts w:ascii="Arial" w:hAnsi="Arial" w:cs="Arial"/>
          <w:sz w:val="20"/>
          <w:szCs w:val="20"/>
        </w:rPr>
      </w:pPr>
      <w:r w:rsidRPr="000860B8">
        <w:rPr>
          <w:rFonts w:ascii="Arial" w:hAnsi="Arial" w:cs="Arial"/>
          <w:sz w:val="20"/>
          <w:szCs w:val="20"/>
        </w:rPr>
        <w:t>Source: Processed data, IDX (2022)</w:t>
      </w:r>
    </w:p>
    <w:p w14:paraId="461DE12F" w14:textId="77777777" w:rsidR="000860B8" w:rsidRDefault="000860B8" w:rsidP="000860B8">
      <w:pPr>
        <w:pStyle w:val="NormalWeb"/>
        <w:shd w:val="clear" w:color="auto" w:fill="FFFFFF"/>
        <w:spacing w:before="0" w:beforeAutospacing="0" w:after="0" w:afterAutospacing="0"/>
        <w:rPr>
          <w:rFonts w:ascii="Arial" w:hAnsi="Arial" w:cs="Arial"/>
          <w:b/>
          <w:bCs/>
          <w:sz w:val="22"/>
          <w:szCs w:val="22"/>
        </w:rPr>
      </w:pPr>
    </w:p>
    <w:p w14:paraId="22620695" w14:textId="0E35EEFC" w:rsidR="000C4622" w:rsidRPr="000860B8" w:rsidRDefault="000C4622" w:rsidP="000860B8">
      <w:pPr>
        <w:pStyle w:val="NormalWeb"/>
        <w:shd w:val="clear" w:color="auto" w:fill="FFFFFF"/>
        <w:spacing w:before="0" w:beforeAutospacing="0" w:after="0" w:afterAutospacing="0"/>
        <w:rPr>
          <w:rFonts w:ascii="Arial" w:hAnsi="Arial" w:cs="Arial"/>
          <w:b/>
          <w:bCs/>
          <w:sz w:val="22"/>
          <w:szCs w:val="22"/>
        </w:rPr>
      </w:pPr>
      <w:r w:rsidRPr="000860B8">
        <w:rPr>
          <w:rFonts w:ascii="Arial" w:hAnsi="Arial" w:cs="Arial"/>
          <w:b/>
          <w:bCs/>
          <w:sz w:val="22"/>
          <w:szCs w:val="22"/>
        </w:rPr>
        <w:t>Dependent Variable</w:t>
      </w:r>
    </w:p>
    <w:p w14:paraId="0323275A" w14:textId="17553253" w:rsidR="00810708" w:rsidRPr="000860B8" w:rsidRDefault="000C4622"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The dependent variable in this study is earnings management. Earnings management is an act that is done intentionally to manipulate or manage the company's income in the accounting process with the aim of achieving the desired level of profit reporting</w:t>
      </w:r>
      <w:r w:rsidRPr="000860B8">
        <w:rPr>
          <w:rFonts w:ascii="Arial" w:hAnsi="Arial" w:cs="Arial"/>
          <w:b/>
          <w:bCs/>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{"citationItems":[{"id":"ITEM-1","itemData":{"DOI":"10.21067/jem.v17i1.5188","ISSN":"0216-373X","abstract":"This research expected to understand the effect of corporate governance and earning management on dividend policy. The dependent variable selected for the research was the dividend payout ratio, while the independent variable was determined by the size of the board of commissioners, independence of board commissioners, managerial ownership, individual ownership, institutional ownership, directional accrual, firm age, firm size, leverage, and profitability. Samples for research were all companies registered under the Indonesia Stock Exchange, these were chosen using a purposive sampling method with a total of 865 observational data that met the criteria for 5 years. The panel regression method is used to analyze the impact of each independent variable on the dependent variable. The fixed-effects model is found to be the best regression model in this research. The research concludes that individual ownership, institutional ownership and profitability have a significant positive effect on dividend policy. Meanwhile, the size of the board of commissioners, independence of board commissioners, managerial ownership, earning management, firm size, firm age and leverage do not affect dividend policy. Real earning management and ownership factors are encouraged in future studies such as family ownership, public ownership, and foreign ownership in examining the impact on dividend policy.","author":[{"dropping-particle":"","family":"Chandra","given":"Budi","non-dropping-particle":"","parse-names":false,"suffix":""},{"dropping-particle":"","family":"Junita","given":"Novia","non-dropping-particle":"","parse-names":false,"suffix":""}],"container-title":"Jurnal Ekonomi Modernisasi","id":"ITEM-1","issue":"1","issued":{"date-parts":[["2021"]]},"page":"15-26","title":"Tata kelola perusahaan dan manajemen laba terhadap kebijakan dividen di Indonesia","type":"article-journal","volume":"17"},"uris":["http://www.mendeley.com/documents/?uuid=04faf294-0f87-4829-9922-adffffe3f9bb"]}],"mendeley":{"formattedCitation":"(Chandra &amp; Junita, 2021)","plainTextFormattedCitation":"(Chandra &amp; Junita, 2021)","previouslyFormattedCitation":"(Chandra &amp; Junita, 2021)"},"properties":{"noteIndex":0},"schema":"https://github.com/citation-style-language/schema/raw/master/csl-citation.json"}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(Chandra &amp; Junita, 2021)</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Profit management will be measured using Discretionary Accruals using the Modified Jones Model by differentiating between total accruals and non-discretionary accruals which was first introduced by</w:t>
      </w:r>
      <w:r w:rsidR="00810708" w:rsidRPr="000860B8">
        <w:rPr>
          <w:rFonts w:ascii="Arial" w:hAnsi="Arial" w:cs="Arial"/>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{"citationItems":[{"id":"ITEM-1","itemData":{"abstract":"This paper evaluates alternative accrual-based models for detecting earnings management. The evaluation compares the specification and power of commonly used test statistics across the measures of discretionary accruals generated by the models and provides the following major insights. First, all of the models appear well specified when applied to a random sample of firm-years. Second, the models all generate tests of low power for earnings management of economically plausible magnitudes (e.g., one to five percent of total assets). Third, all models reject the null hypothesis of no earnings management at rates exceeding the specified test-levels when applied to samples of firms with extreme financial performance. This result highlights the importance of controlling for financial performance when investigating earnings management stimuli that are correlated with financial performance. Finally, a modified version of the model developed by Jones (1991) exhibits the most power in detecting earnings management.","author":[{"dropping-particle":"","family":"Dechow","given":"Patricia M.","non-dropping-particle":"","parse-names":false,"suffix":""},{"dropping-particle":"","family":"Sloan","given":"Richard G.","non-dropping-particle":"","parse-names":false,"suffix":""},{"dropping-particle":"","family":"Sweeney","given":"Amy P.","non-dropping-particle":"","parse-names":false,"suffix":""}],"container-title":"The accounting Review","id":"ITEM-1","issue":"20","issued":{"date-parts":[["1995"]]},"page":"193-225","title":"Detecting Earnings Management","type":"article","volume":"70"},"uris":["http://www.mendeley.com/documents/?uuid=bb3f805d-91ba-4a1e-9fc3-e73c3bd91267"]}],"mendeley":{"formattedCitation":"(Dechow et al., 1995)","manualFormatting":"Dechow et al. (1995)","plainTextFormattedCitation":"(Dechow et al., 1995)","previouslyFormattedCitation":"(Dechow et al., 1995)"},"properties":{"noteIndex":0},"schema":"https://github.com/citation-style-language/schema/raw/master/csl-citation.json"}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Dechow et al. (1995)</w:t>
      </w:r>
      <w:r w:rsidR="00810708" w:rsidRPr="000860B8">
        <w:rPr>
          <w:rFonts w:ascii="Arial" w:hAnsi="Arial" w:cs="Arial"/>
          <w:sz w:val="22"/>
          <w:szCs w:val="22"/>
        </w:rPr>
        <w:fldChar w:fldCharType="end"/>
      </w:r>
      <w:r w:rsidR="00810708" w:rsidRPr="000860B8">
        <w:rPr>
          <w:rFonts w:ascii="Arial" w:hAnsi="Arial" w:cs="Arial"/>
          <w:i/>
          <w:iCs/>
          <w:sz w:val="22"/>
          <w:szCs w:val="22"/>
        </w:rPr>
        <w:t xml:space="preserve">. </w:t>
      </w:r>
      <w:r w:rsidRPr="000860B8">
        <w:rPr>
          <w:rFonts w:ascii="Arial" w:hAnsi="Arial" w:cs="Arial"/>
          <w:sz w:val="22"/>
          <w:szCs w:val="22"/>
        </w:rPr>
        <w:t>The calculation steps performed in the Modified Jones Model are as follows</w:t>
      </w:r>
      <w:r w:rsidR="00810708" w:rsidRPr="000860B8">
        <w:rPr>
          <w:rFonts w:ascii="Arial" w:hAnsi="Arial" w:cs="Arial"/>
          <w:sz w:val="22"/>
          <w:szCs w:val="22"/>
        </w:rPr>
        <w:t xml:space="preserve">: </w:t>
      </w:r>
    </w:p>
    <w:p w14:paraId="76A94A16" w14:textId="25DAF7F8" w:rsidR="00810708" w:rsidRPr="000860B8" w:rsidRDefault="000C4622" w:rsidP="000860B8">
      <w:pPr>
        <w:pStyle w:val="NormalWeb"/>
        <w:numPr>
          <w:ilvl w:val="0"/>
          <w:numId w:val="2"/>
        </w:numPr>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To calculate total accruals, use the following formula</w:t>
      </w:r>
      <w:r w:rsidR="00810708" w:rsidRPr="000860B8">
        <w:rPr>
          <w:rFonts w:ascii="Arial" w:hAnsi="Arial" w:cs="Arial"/>
          <w:sz w:val="22"/>
          <w:szCs w:val="22"/>
        </w:rPr>
        <w:t xml:space="preserve">: </w:t>
      </w:r>
    </w:p>
    <w:p w14:paraId="578C1625" w14:textId="77777777"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TACC</w:t>
      </w:r>
      <w:r w:rsidRPr="000860B8">
        <w:rPr>
          <w:rFonts w:ascii="Arial" w:hAnsi="Arial" w:cs="Arial"/>
          <w:sz w:val="22"/>
          <w:szCs w:val="22"/>
          <w:vertAlign w:val="subscript"/>
        </w:rPr>
        <w:t>t</w:t>
      </w:r>
      <w:proofErr w:type="spellEnd"/>
      <w:r w:rsidRPr="000860B8">
        <w:rPr>
          <w:rFonts w:ascii="Arial" w:hAnsi="Arial" w:cs="Arial"/>
          <w:sz w:val="22"/>
          <w:szCs w:val="22"/>
        </w:rPr>
        <w:t xml:space="preserve"> = </w:t>
      </w:r>
      <w:proofErr w:type="spellStart"/>
      <w:r w:rsidRPr="000860B8">
        <w:rPr>
          <w:rFonts w:ascii="Arial" w:hAnsi="Arial" w:cs="Arial"/>
          <w:sz w:val="22"/>
          <w:szCs w:val="22"/>
        </w:rPr>
        <w:t>NI</w:t>
      </w:r>
      <w:r w:rsidRPr="000860B8">
        <w:rPr>
          <w:rFonts w:ascii="Arial" w:hAnsi="Arial" w:cs="Arial"/>
          <w:sz w:val="22"/>
          <w:szCs w:val="22"/>
          <w:vertAlign w:val="subscript"/>
        </w:rPr>
        <w:t>t</w:t>
      </w:r>
      <w:proofErr w:type="spellEnd"/>
      <w:r w:rsidRPr="000860B8">
        <w:rPr>
          <w:rFonts w:ascii="Arial" w:hAnsi="Arial" w:cs="Arial"/>
          <w:sz w:val="22"/>
          <w:szCs w:val="22"/>
        </w:rPr>
        <w:t xml:space="preserve"> – </w:t>
      </w:r>
      <w:proofErr w:type="spellStart"/>
      <w:r w:rsidRPr="000860B8">
        <w:rPr>
          <w:rFonts w:ascii="Arial" w:hAnsi="Arial" w:cs="Arial"/>
          <w:sz w:val="22"/>
          <w:szCs w:val="22"/>
        </w:rPr>
        <w:t>CFO</w:t>
      </w:r>
      <w:r w:rsidRPr="000860B8">
        <w:rPr>
          <w:rFonts w:ascii="Arial" w:hAnsi="Arial" w:cs="Arial"/>
          <w:sz w:val="22"/>
          <w:szCs w:val="22"/>
          <w:vertAlign w:val="subscript"/>
        </w:rPr>
        <w:t>t</w:t>
      </w:r>
      <w:proofErr w:type="spellEnd"/>
    </w:p>
    <w:p w14:paraId="343A666E" w14:textId="796495B4" w:rsidR="00810708" w:rsidRPr="000860B8" w:rsidRDefault="000C4622"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Information</w:t>
      </w:r>
      <w:r w:rsidR="00810708" w:rsidRPr="000860B8">
        <w:rPr>
          <w:rFonts w:ascii="Arial" w:hAnsi="Arial" w:cs="Arial"/>
          <w:sz w:val="22"/>
          <w:szCs w:val="22"/>
        </w:rPr>
        <w:t>:</w:t>
      </w:r>
    </w:p>
    <w:p w14:paraId="3F784D66" w14:textId="3B6E20D5"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TACC</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r>
      <w:r w:rsidR="000C4622" w:rsidRPr="000860B8">
        <w:rPr>
          <w:rFonts w:ascii="Arial" w:hAnsi="Arial" w:cs="Arial"/>
          <w:sz w:val="22"/>
          <w:szCs w:val="22"/>
        </w:rPr>
        <w:t>: company's total accruals in year t</w:t>
      </w:r>
    </w:p>
    <w:p w14:paraId="053E07D1" w14:textId="46597B04"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NI</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0C4622" w:rsidRPr="000860B8">
        <w:rPr>
          <w:rFonts w:ascii="Arial" w:hAnsi="Arial" w:cs="Arial"/>
          <w:sz w:val="22"/>
          <w:szCs w:val="22"/>
        </w:rPr>
        <w:t>net profit (net income) company in year t</w:t>
      </w:r>
    </w:p>
    <w:p w14:paraId="37BE9486" w14:textId="03938DA2" w:rsidR="00810708" w:rsidRPr="000860B8" w:rsidRDefault="00810708" w:rsidP="000860B8">
      <w:pPr>
        <w:pStyle w:val="NormalWeb"/>
        <w:shd w:val="clear" w:color="auto" w:fill="FFFFFF"/>
        <w:spacing w:before="0" w:beforeAutospacing="0" w:after="0" w:afterAutospacing="0"/>
        <w:ind w:left="2160" w:hanging="1440"/>
        <w:jc w:val="both"/>
        <w:rPr>
          <w:rFonts w:ascii="Arial" w:hAnsi="Arial" w:cs="Arial"/>
          <w:sz w:val="22"/>
          <w:szCs w:val="22"/>
        </w:rPr>
      </w:pPr>
      <w:proofErr w:type="spellStart"/>
      <w:r w:rsidRPr="000860B8">
        <w:rPr>
          <w:rFonts w:ascii="Arial" w:hAnsi="Arial" w:cs="Arial"/>
          <w:sz w:val="22"/>
          <w:szCs w:val="22"/>
        </w:rPr>
        <w:lastRenderedPageBreak/>
        <w:t>CFO</w:t>
      </w:r>
      <w:r w:rsidRPr="000860B8">
        <w:rPr>
          <w:rFonts w:ascii="Arial" w:hAnsi="Arial" w:cs="Arial"/>
          <w:sz w:val="22"/>
          <w:szCs w:val="22"/>
          <w:vertAlign w:val="subscript"/>
        </w:rPr>
        <w:t>t</w:t>
      </w:r>
      <w:proofErr w:type="spellEnd"/>
      <w:r w:rsidRPr="000860B8">
        <w:rPr>
          <w:rFonts w:ascii="Arial" w:hAnsi="Arial" w:cs="Arial"/>
          <w:sz w:val="22"/>
          <w:szCs w:val="22"/>
        </w:rPr>
        <w:tab/>
        <w:t xml:space="preserve">: </w:t>
      </w:r>
      <w:r w:rsidR="000C4622" w:rsidRPr="000860B8">
        <w:rPr>
          <w:rFonts w:ascii="Arial" w:hAnsi="Arial" w:cs="Arial"/>
          <w:sz w:val="22"/>
          <w:szCs w:val="22"/>
        </w:rPr>
        <w:t>cash flow out of operations (operating cash flow) of the company in year t</w:t>
      </w:r>
    </w:p>
    <w:p w14:paraId="2961B721" w14:textId="0E57C432" w:rsidR="000C4622" w:rsidRPr="000860B8" w:rsidRDefault="000C4622" w:rsidP="000860B8">
      <w:pPr>
        <w:pStyle w:val="NormalWeb"/>
        <w:numPr>
          <w:ilvl w:val="0"/>
          <w:numId w:val="2"/>
        </w:numPr>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Estimating the value of total accruals with the regression equation</w:t>
      </w:r>
    </w:p>
    <w:p w14:paraId="3C09B8BB" w14:textId="7D57B904"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TACC</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 xml:space="preserve"> = β</w:t>
      </w:r>
      <w:r w:rsidRPr="000860B8">
        <w:rPr>
          <w:rFonts w:ascii="Arial" w:hAnsi="Arial" w:cs="Arial"/>
          <w:sz w:val="22"/>
          <w:szCs w:val="22"/>
          <w:vertAlign w:val="subscript"/>
        </w:rPr>
        <w:t>1</w:t>
      </w:r>
      <w:r w:rsidRPr="000860B8">
        <w:rPr>
          <w:rFonts w:ascii="Arial" w:hAnsi="Arial" w:cs="Arial"/>
          <w:sz w:val="22"/>
          <w:szCs w:val="22"/>
        </w:rPr>
        <w:t>(1/TA</w:t>
      </w:r>
      <w:r w:rsidRPr="000860B8">
        <w:rPr>
          <w:rFonts w:ascii="Arial" w:hAnsi="Arial" w:cs="Arial"/>
          <w:sz w:val="22"/>
          <w:szCs w:val="22"/>
          <w:vertAlign w:val="subscript"/>
        </w:rPr>
        <w:t>t-1</w:t>
      </w:r>
      <w:r w:rsidRPr="000860B8">
        <w:rPr>
          <w:rFonts w:ascii="Arial" w:hAnsi="Arial" w:cs="Arial"/>
          <w:sz w:val="22"/>
          <w:szCs w:val="22"/>
        </w:rPr>
        <w:t>) + β</w:t>
      </w:r>
      <w:r w:rsidRPr="000860B8">
        <w:rPr>
          <w:rFonts w:ascii="Arial" w:hAnsi="Arial" w:cs="Arial"/>
          <w:sz w:val="22"/>
          <w:szCs w:val="22"/>
          <w:vertAlign w:val="subscript"/>
        </w:rPr>
        <w:t>2</w:t>
      </w:r>
      <w:r w:rsidRPr="000860B8">
        <w:rPr>
          <w:rFonts w:ascii="Arial" w:hAnsi="Arial" w:cs="Arial"/>
          <w:sz w:val="22"/>
          <w:szCs w:val="22"/>
        </w:rPr>
        <w:t>(∆</w:t>
      </w:r>
      <w:proofErr w:type="spellStart"/>
      <w:r w:rsidRPr="000860B8">
        <w:rPr>
          <w:rFonts w:ascii="Arial" w:hAnsi="Arial" w:cs="Arial"/>
          <w:sz w:val="22"/>
          <w:szCs w:val="22"/>
        </w:rPr>
        <w:t>Rev</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w:t>
      </w:r>
      <w:proofErr w:type="spellStart"/>
      <w:r w:rsidRPr="000860B8">
        <w:rPr>
          <w:rFonts w:ascii="Arial" w:hAnsi="Arial" w:cs="Arial"/>
          <w:sz w:val="22"/>
          <w:szCs w:val="22"/>
        </w:rPr>
        <w:t>Rec</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 + β</w:t>
      </w:r>
      <w:r w:rsidRPr="000860B8">
        <w:rPr>
          <w:rFonts w:ascii="Arial" w:hAnsi="Arial" w:cs="Arial"/>
          <w:sz w:val="22"/>
          <w:szCs w:val="22"/>
          <w:vertAlign w:val="subscript"/>
        </w:rPr>
        <w:t>3</w:t>
      </w:r>
      <w:r w:rsidRPr="000860B8">
        <w:rPr>
          <w:rFonts w:ascii="Arial" w:hAnsi="Arial" w:cs="Arial"/>
          <w:sz w:val="22"/>
          <w:szCs w:val="22"/>
        </w:rPr>
        <w:t>(</w:t>
      </w:r>
      <w:proofErr w:type="spellStart"/>
      <w:r w:rsidRPr="000860B8">
        <w:rPr>
          <w:rFonts w:ascii="Arial" w:hAnsi="Arial" w:cs="Arial"/>
          <w:sz w:val="22"/>
          <w:szCs w:val="22"/>
        </w:rPr>
        <w:t>PPE</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 + ɛ</w:t>
      </w:r>
    </w:p>
    <w:p w14:paraId="5C00C0C3" w14:textId="237446BA" w:rsidR="00810708" w:rsidRPr="000860B8" w:rsidRDefault="000C4622"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information</w:t>
      </w:r>
      <w:r w:rsidR="00810708" w:rsidRPr="000860B8">
        <w:rPr>
          <w:rFonts w:ascii="Arial" w:hAnsi="Arial" w:cs="Arial"/>
          <w:sz w:val="22"/>
          <w:szCs w:val="22"/>
        </w:rPr>
        <w:t>:</w:t>
      </w:r>
    </w:p>
    <w:p w14:paraId="23EFE916" w14:textId="63921430"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TACC</w:t>
      </w:r>
      <w:r w:rsidRPr="000860B8">
        <w:rPr>
          <w:rFonts w:ascii="Arial" w:hAnsi="Arial" w:cs="Arial"/>
          <w:sz w:val="22"/>
          <w:szCs w:val="22"/>
          <w:vertAlign w:val="subscript"/>
        </w:rPr>
        <w:t>t</w:t>
      </w:r>
      <w:proofErr w:type="spellEnd"/>
      <w:r w:rsidRPr="000860B8">
        <w:rPr>
          <w:rFonts w:ascii="Arial" w:hAnsi="Arial" w:cs="Arial"/>
          <w:sz w:val="22"/>
          <w:szCs w:val="22"/>
          <w:vertAlign w:val="subscript"/>
        </w:rPr>
        <w:tab/>
      </w:r>
      <w:r w:rsidRPr="000860B8">
        <w:rPr>
          <w:rFonts w:ascii="Arial" w:hAnsi="Arial" w:cs="Arial"/>
          <w:sz w:val="22"/>
          <w:szCs w:val="22"/>
          <w:vertAlign w:val="subscript"/>
        </w:rPr>
        <w:tab/>
      </w:r>
      <w:r w:rsidRPr="000860B8">
        <w:rPr>
          <w:rFonts w:ascii="Arial" w:hAnsi="Arial" w:cs="Arial"/>
          <w:sz w:val="22"/>
          <w:szCs w:val="22"/>
        </w:rPr>
        <w:t xml:space="preserve">: </w:t>
      </w:r>
      <w:r w:rsidR="000C4622" w:rsidRPr="000860B8">
        <w:rPr>
          <w:rFonts w:ascii="Arial" w:hAnsi="Arial" w:cs="Arial"/>
          <w:i/>
          <w:iCs/>
          <w:sz w:val="22"/>
          <w:szCs w:val="22"/>
        </w:rPr>
        <w:t>company's total accrual in year t</w:t>
      </w:r>
    </w:p>
    <w:p w14:paraId="45CDA837" w14:textId="5AAEAE29"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ab/>
      </w:r>
      <w:r w:rsidRPr="000860B8">
        <w:rPr>
          <w:rFonts w:ascii="Arial" w:hAnsi="Arial" w:cs="Arial"/>
          <w:sz w:val="22"/>
          <w:szCs w:val="22"/>
        </w:rPr>
        <w:tab/>
        <w:t xml:space="preserve">: </w:t>
      </w:r>
      <w:r w:rsidR="003E38E1" w:rsidRPr="000860B8">
        <w:rPr>
          <w:rFonts w:ascii="Arial" w:hAnsi="Arial" w:cs="Arial"/>
          <w:sz w:val="22"/>
          <w:szCs w:val="22"/>
        </w:rPr>
        <w:t>total assets of the company in year t-1</w:t>
      </w:r>
    </w:p>
    <w:p w14:paraId="2659A943" w14:textId="77777777" w:rsidR="003E38E1"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w:t>
      </w:r>
      <w:proofErr w:type="spellStart"/>
      <w:r w:rsidRPr="000860B8">
        <w:rPr>
          <w:rFonts w:ascii="Arial" w:hAnsi="Arial" w:cs="Arial"/>
          <w:sz w:val="22"/>
          <w:szCs w:val="22"/>
        </w:rPr>
        <w:t>Rev</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3E38E1" w:rsidRPr="000860B8">
        <w:rPr>
          <w:rFonts w:ascii="Arial" w:hAnsi="Arial" w:cs="Arial"/>
          <w:sz w:val="22"/>
          <w:szCs w:val="22"/>
        </w:rPr>
        <w:t>change in company income in year t with t-1</w:t>
      </w:r>
    </w:p>
    <w:p w14:paraId="0DFFF5A1" w14:textId="678CF9D7"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w:t>
      </w:r>
      <w:proofErr w:type="spellStart"/>
      <w:r w:rsidRPr="000860B8">
        <w:rPr>
          <w:rFonts w:ascii="Arial" w:hAnsi="Arial" w:cs="Arial"/>
          <w:sz w:val="22"/>
          <w:szCs w:val="22"/>
        </w:rPr>
        <w:t>Rec</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3E38E1" w:rsidRPr="000860B8">
        <w:rPr>
          <w:rFonts w:ascii="Arial" w:hAnsi="Arial" w:cs="Arial"/>
          <w:sz w:val="22"/>
          <w:szCs w:val="22"/>
        </w:rPr>
        <w:t>change in company receivables in year t with t-1</w:t>
      </w:r>
    </w:p>
    <w:p w14:paraId="2F7EDC29" w14:textId="586146CF"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PPE</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3E38E1" w:rsidRPr="000860B8">
        <w:rPr>
          <w:rFonts w:ascii="Arial" w:hAnsi="Arial" w:cs="Arial"/>
          <w:sz w:val="22"/>
          <w:szCs w:val="22"/>
        </w:rPr>
        <w:t>fixed assets in year t</w:t>
      </w:r>
    </w:p>
    <w:p w14:paraId="30D0CCFD" w14:textId="77777777" w:rsidR="00810708" w:rsidRPr="000860B8" w:rsidRDefault="00810708" w:rsidP="000860B8">
      <w:pPr>
        <w:pStyle w:val="NormalWeb"/>
        <w:shd w:val="clear" w:color="auto" w:fill="FFFFFF"/>
        <w:spacing w:before="0" w:beforeAutospacing="0" w:after="0" w:afterAutospacing="0"/>
        <w:ind w:left="720"/>
        <w:jc w:val="both"/>
        <w:rPr>
          <w:rFonts w:ascii="Arial" w:hAnsi="Arial" w:cs="Arial"/>
          <w:i/>
          <w:iCs/>
          <w:sz w:val="22"/>
          <w:szCs w:val="22"/>
        </w:rPr>
      </w:pPr>
      <w:r w:rsidRPr="000860B8">
        <w:rPr>
          <w:rFonts w:ascii="Arial" w:hAnsi="Arial" w:cs="Arial"/>
          <w:sz w:val="22"/>
          <w:szCs w:val="22"/>
        </w:rPr>
        <w:t>ɛ</w:t>
      </w:r>
      <w:r w:rsidRPr="000860B8">
        <w:rPr>
          <w:rFonts w:ascii="Arial" w:hAnsi="Arial" w:cs="Arial"/>
          <w:sz w:val="22"/>
          <w:szCs w:val="22"/>
        </w:rPr>
        <w:tab/>
      </w:r>
      <w:r w:rsidRPr="000860B8">
        <w:rPr>
          <w:rFonts w:ascii="Arial" w:hAnsi="Arial" w:cs="Arial"/>
          <w:sz w:val="22"/>
          <w:szCs w:val="22"/>
        </w:rPr>
        <w:tab/>
        <w:t xml:space="preserve">: </w:t>
      </w:r>
      <w:r w:rsidRPr="000860B8">
        <w:rPr>
          <w:rFonts w:ascii="Arial" w:hAnsi="Arial" w:cs="Arial"/>
          <w:i/>
          <w:iCs/>
          <w:sz w:val="22"/>
          <w:szCs w:val="22"/>
        </w:rPr>
        <w:t>error</w:t>
      </w:r>
    </w:p>
    <w:p w14:paraId="5554D34F" w14:textId="2ECB1621"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β</w:t>
      </w:r>
      <w:r w:rsidRPr="000860B8">
        <w:rPr>
          <w:rFonts w:ascii="Arial" w:hAnsi="Arial" w:cs="Arial"/>
          <w:sz w:val="22"/>
          <w:szCs w:val="22"/>
          <w:vertAlign w:val="subscript"/>
        </w:rPr>
        <w:t>1</w:t>
      </w:r>
      <w:r w:rsidRPr="000860B8">
        <w:rPr>
          <w:rFonts w:ascii="Arial" w:hAnsi="Arial" w:cs="Arial"/>
          <w:sz w:val="22"/>
          <w:szCs w:val="22"/>
        </w:rPr>
        <w:t>, β</w:t>
      </w:r>
      <w:r w:rsidRPr="000860B8">
        <w:rPr>
          <w:rFonts w:ascii="Arial" w:hAnsi="Arial" w:cs="Arial"/>
          <w:sz w:val="22"/>
          <w:szCs w:val="22"/>
          <w:vertAlign w:val="subscript"/>
        </w:rPr>
        <w:t>2</w:t>
      </w:r>
      <w:r w:rsidRPr="000860B8">
        <w:rPr>
          <w:rFonts w:ascii="Arial" w:hAnsi="Arial" w:cs="Arial"/>
          <w:sz w:val="22"/>
          <w:szCs w:val="22"/>
        </w:rPr>
        <w:t>, β</w:t>
      </w:r>
      <w:r w:rsidRPr="000860B8">
        <w:rPr>
          <w:rFonts w:ascii="Arial" w:hAnsi="Arial" w:cs="Arial"/>
          <w:sz w:val="22"/>
          <w:szCs w:val="22"/>
          <w:vertAlign w:val="subscript"/>
        </w:rPr>
        <w:t>3</w:t>
      </w:r>
      <w:r w:rsidRPr="000860B8">
        <w:rPr>
          <w:rFonts w:ascii="Arial" w:hAnsi="Arial" w:cs="Arial"/>
          <w:sz w:val="22"/>
          <w:szCs w:val="22"/>
          <w:vertAlign w:val="subscript"/>
        </w:rPr>
        <w:tab/>
      </w:r>
      <w:r w:rsidRPr="000860B8">
        <w:rPr>
          <w:rFonts w:ascii="Arial" w:hAnsi="Arial" w:cs="Arial"/>
          <w:sz w:val="22"/>
          <w:szCs w:val="22"/>
        </w:rPr>
        <w:t xml:space="preserve">: </w:t>
      </w:r>
      <w:r w:rsidR="003E38E1" w:rsidRPr="000860B8">
        <w:rPr>
          <w:rFonts w:ascii="Arial" w:hAnsi="Arial" w:cs="Arial"/>
          <w:sz w:val="22"/>
          <w:szCs w:val="22"/>
        </w:rPr>
        <w:t>regression coefficient</w:t>
      </w:r>
    </w:p>
    <w:p w14:paraId="5505E25C" w14:textId="4560D2EC" w:rsidR="003E38E1" w:rsidRPr="000860B8" w:rsidRDefault="003E38E1" w:rsidP="000860B8">
      <w:pPr>
        <w:pStyle w:val="NormalWeb"/>
        <w:numPr>
          <w:ilvl w:val="0"/>
          <w:numId w:val="2"/>
        </w:numPr>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Calculate the value of discretionary accruals</w:t>
      </w:r>
    </w:p>
    <w:p w14:paraId="2D4050C6" w14:textId="0ACF7D48"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DACC</w:t>
      </w:r>
      <w:r w:rsidRPr="000860B8">
        <w:rPr>
          <w:rFonts w:ascii="Arial" w:hAnsi="Arial" w:cs="Arial"/>
          <w:sz w:val="22"/>
          <w:szCs w:val="22"/>
          <w:vertAlign w:val="subscript"/>
        </w:rPr>
        <w:t>t</w:t>
      </w:r>
      <w:proofErr w:type="spellEnd"/>
      <w:r w:rsidRPr="000860B8">
        <w:rPr>
          <w:rFonts w:ascii="Arial" w:hAnsi="Arial" w:cs="Arial"/>
          <w:sz w:val="22"/>
          <w:szCs w:val="22"/>
        </w:rPr>
        <w:t xml:space="preserve"> = β</w:t>
      </w:r>
      <w:r w:rsidRPr="000860B8">
        <w:rPr>
          <w:rFonts w:ascii="Arial" w:hAnsi="Arial" w:cs="Arial"/>
          <w:sz w:val="22"/>
          <w:szCs w:val="22"/>
          <w:vertAlign w:val="subscript"/>
        </w:rPr>
        <w:t>1</w:t>
      </w:r>
      <w:r w:rsidRPr="000860B8">
        <w:rPr>
          <w:rFonts w:ascii="Arial" w:hAnsi="Arial" w:cs="Arial"/>
          <w:sz w:val="22"/>
          <w:szCs w:val="22"/>
        </w:rPr>
        <w:t>(1/TA</w:t>
      </w:r>
      <w:r w:rsidRPr="000860B8">
        <w:rPr>
          <w:rFonts w:ascii="Arial" w:hAnsi="Arial" w:cs="Arial"/>
          <w:sz w:val="22"/>
          <w:szCs w:val="22"/>
          <w:vertAlign w:val="subscript"/>
        </w:rPr>
        <w:t>t-1</w:t>
      </w:r>
      <w:r w:rsidRPr="000860B8">
        <w:rPr>
          <w:rFonts w:ascii="Arial" w:hAnsi="Arial" w:cs="Arial"/>
          <w:sz w:val="22"/>
          <w:szCs w:val="22"/>
        </w:rPr>
        <w:t>) + β</w:t>
      </w:r>
      <w:r w:rsidRPr="000860B8">
        <w:rPr>
          <w:rFonts w:ascii="Arial" w:hAnsi="Arial" w:cs="Arial"/>
          <w:sz w:val="22"/>
          <w:szCs w:val="22"/>
          <w:vertAlign w:val="subscript"/>
        </w:rPr>
        <w:t>2</w:t>
      </w:r>
      <w:r w:rsidRPr="000860B8">
        <w:rPr>
          <w:rFonts w:ascii="Arial" w:hAnsi="Arial" w:cs="Arial"/>
          <w:sz w:val="22"/>
          <w:szCs w:val="22"/>
        </w:rPr>
        <w:t>(∆</w:t>
      </w:r>
      <w:proofErr w:type="spellStart"/>
      <w:r w:rsidRPr="000860B8">
        <w:rPr>
          <w:rFonts w:ascii="Arial" w:hAnsi="Arial" w:cs="Arial"/>
          <w:sz w:val="22"/>
          <w:szCs w:val="22"/>
        </w:rPr>
        <w:t>Rev</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w:t>
      </w:r>
      <w:proofErr w:type="spellStart"/>
      <w:r w:rsidRPr="000860B8">
        <w:rPr>
          <w:rFonts w:ascii="Arial" w:hAnsi="Arial" w:cs="Arial"/>
          <w:sz w:val="22"/>
          <w:szCs w:val="22"/>
        </w:rPr>
        <w:t>Rec</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 + β</w:t>
      </w:r>
      <w:r w:rsidRPr="000860B8">
        <w:rPr>
          <w:rFonts w:ascii="Arial" w:hAnsi="Arial" w:cs="Arial"/>
          <w:sz w:val="22"/>
          <w:szCs w:val="22"/>
          <w:vertAlign w:val="subscript"/>
        </w:rPr>
        <w:t>3</w:t>
      </w:r>
      <w:r w:rsidRPr="000860B8">
        <w:rPr>
          <w:rFonts w:ascii="Arial" w:hAnsi="Arial" w:cs="Arial"/>
          <w:sz w:val="22"/>
          <w:szCs w:val="22"/>
        </w:rPr>
        <w:t>(</w:t>
      </w:r>
      <w:proofErr w:type="spellStart"/>
      <w:r w:rsidRPr="000860B8">
        <w:rPr>
          <w:rFonts w:ascii="Arial" w:hAnsi="Arial" w:cs="Arial"/>
          <w:sz w:val="22"/>
          <w:szCs w:val="22"/>
        </w:rPr>
        <w:t>PPE</w:t>
      </w:r>
      <w:r w:rsidRPr="000860B8">
        <w:rPr>
          <w:rFonts w:ascii="Arial" w:hAnsi="Arial" w:cs="Arial"/>
          <w:sz w:val="22"/>
          <w:szCs w:val="22"/>
          <w:vertAlign w:val="subscript"/>
        </w:rPr>
        <w:t>t</w:t>
      </w:r>
      <w:proofErr w:type="spellEnd"/>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w:t>
      </w:r>
    </w:p>
    <w:p w14:paraId="176798B2" w14:textId="5C14BD63" w:rsidR="00810708" w:rsidRPr="000860B8" w:rsidRDefault="003E38E1"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information</w:t>
      </w:r>
      <w:r w:rsidR="00810708" w:rsidRPr="000860B8">
        <w:rPr>
          <w:rFonts w:ascii="Arial" w:hAnsi="Arial" w:cs="Arial"/>
          <w:sz w:val="22"/>
          <w:szCs w:val="22"/>
        </w:rPr>
        <w:t xml:space="preserve">: </w:t>
      </w:r>
    </w:p>
    <w:p w14:paraId="7C599331" w14:textId="7DBA59E1"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DACC</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3E38E1" w:rsidRPr="000860B8">
        <w:rPr>
          <w:rFonts w:ascii="Arial" w:hAnsi="Arial" w:cs="Arial"/>
          <w:i/>
          <w:iCs/>
          <w:sz w:val="22"/>
          <w:szCs w:val="22"/>
        </w:rPr>
        <w:t>company discretionary accruals in year t</w:t>
      </w:r>
    </w:p>
    <w:p w14:paraId="1370B74A" w14:textId="18D46C97"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TA</w:t>
      </w:r>
      <w:r w:rsidRPr="000860B8">
        <w:rPr>
          <w:rFonts w:ascii="Arial" w:hAnsi="Arial" w:cs="Arial"/>
          <w:sz w:val="22"/>
          <w:szCs w:val="22"/>
          <w:vertAlign w:val="subscript"/>
        </w:rPr>
        <w:t>t-1</w:t>
      </w:r>
      <w:r w:rsidRPr="000860B8">
        <w:rPr>
          <w:rFonts w:ascii="Arial" w:hAnsi="Arial" w:cs="Arial"/>
          <w:sz w:val="22"/>
          <w:szCs w:val="22"/>
        </w:rPr>
        <w:tab/>
      </w:r>
      <w:r w:rsidRPr="000860B8">
        <w:rPr>
          <w:rFonts w:ascii="Arial" w:hAnsi="Arial" w:cs="Arial"/>
          <w:sz w:val="22"/>
          <w:szCs w:val="22"/>
        </w:rPr>
        <w:tab/>
        <w:t xml:space="preserve">: </w:t>
      </w:r>
      <w:r w:rsidR="003E38E1" w:rsidRPr="000860B8">
        <w:rPr>
          <w:rFonts w:ascii="Arial" w:hAnsi="Arial" w:cs="Arial"/>
          <w:sz w:val="22"/>
          <w:szCs w:val="22"/>
        </w:rPr>
        <w:t>total assets of the company in year t-1</w:t>
      </w:r>
    </w:p>
    <w:p w14:paraId="6634485B" w14:textId="3EE1AB37"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w:t>
      </w:r>
      <w:proofErr w:type="spellStart"/>
      <w:r w:rsidRPr="000860B8">
        <w:rPr>
          <w:rFonts w:ascii="Arial" w:hAnsi="Arial" w:cs="Arial"/>
          <w:sz w:val="22"/>
          <w:szCs w:val="22"/>
        </w:rPr>
        <w:t>Rev</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C91F64" w:rsidRPr="000860B8">
        <w:rPr>
          <w:rFonts w:ascii="Arial" w:hAnsi="Arial" w:cs="Arial"/>
          <w:sz w:val="22"/>
          <w:szCs w:val="22"/>
        </w:rPr>
        <w:t>change in company income in year t with t-1</w:t>
      </w:r>
    </w:p>
    <w:p w14:paraId="7EC8A6EB" w14:textId="6E24C2AA"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w:t>
      </w:r>
      <w:proofErr w:type="spellStart"/>
      <w:r w:rsidRPr="000860B8">
        <w:rPr>
          <w:rFonts w:ascii="Arial" w:hAnsi="Arial" w:cs="Arial"/>
          <w:sz w:val="22"/>
          <w:szCs w:val="22"/>
        </w:rPr>
        <w:t>Rec</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C91F64" w:rsidRPr="000860B8">
        <w:rPr>
          <w:rFonts w:ascii="Arial" w:hAnsi="Arial" w:cs="Arial"/>
          <w:sz w:val="22"/>
          <w:szCs w:val="22"/>
        </w:rPr>
        <w:t>change in company receivables in year t with t-1</w:t>
      </w:r>
    </w:p>
    <w:p w14:paraId="72B879BB" w14:textId="25D226F6"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proofErr w:type="spellStart"/>
      <w:r w:rsidRPr="000860B8">
        <w:rPr>
          <w:rFonts w:ascii="Arial" w:hAnsi="Arial" w:cs="Arial"/>
          <w:sz w:val="22"/>
          <w:szCs w:val="22"/>
        </w:rPr>
        <w:t>PPE</w:t>
      </w:r>
      <w:r w:rsidRPr="000860B8">
        <w:rPr>
          <w:rFonts w:ascii="Arial" w:hAnsi="Arial" w:cs="Arial"/>
          <w:sz w:val="22"/>
          <w:szCs w:val="22"/>
          <w:vertAlign w:val="subscript"/>
        </w:rPr>
        <w:t>t</w:t>
      </w:r>
      <w:proofErr w:type="spellEnd"/>
      <w:r w:rsidRPr="000860B8">
        <w:rPr>
          <w:rFonts w:ascii="Arial" w:hAnsi="Arial" w:cs="Arial"/>
          <w:sz w:val="22"/>
          <w:szCs w:val="22"/>
        </w:rPr>
        <w:tab/>
      </w:r>
      <w:r w:rsidRPr="000860B8">
        <w:rPr>
          <w:rFonts w:ascii="Arial" w:hAnsi="Arial" w:cs="Arial"/>
          <w:sz w:val="22"/>
          <w:szCs w:val="22"/>
        </w:rPr>
        <w:tab/>
        <w:t xml:space="preserve">: </w:t>
      </w:r>
      <w:r w:rsidR="00C91F64" w:rsidRPr="000860B8">
        <w:rPr>
          <w:rFonts w:ascii="Arial" w:hAnsi="Arial" w:cs="Arial"/>
          <w:sz w:val="22"/>
          <w:szCs w:val="22"/>
        </w:rPr>
        <w:t>fixed assets in year t</w:t>
      </w:r>
    </w:p>
    <w:p w14:paraId="2A22FE96" w14:textId="22BB6429" w:rsidR="00810708" w:rsidRPr="000860B8" w:rsidRDefault="00810708" w:rsidP="000860B8">
      <w:pPr>
        <w:pStyle w:val="NormalWeb"/>
        <w:shd w:val="clear" w:color="auto" w:fill="FFFFFF"/>
        <w:spacing w:before="0" w:beforeAutospacing="0" w:after="0" w:afterAutospacing="0"/>
        <w:ind w:left="720"/>
        <w:jc w:val="both"/>
        <w:rPr>
          <w:rFonts w:ascii="Arial" w:hAnsi="Arial" w:cs="Arial"/>
          <w:sz w:val="22"/>
          <w:szCs w:val="22"/>
        </w:rPr>
      </w:pPr>
      <w:r w:rsidRPr="000860B8">
        <w:rPr>
          <w:rFonts w:ascii="Arial" w:hAnsi="Arial" w:cs="Arial"/>
          <w:sz w:val="22"/>
          <w:szCs w:val="22"/>
        </w:rPr>
        <w:t>β</w:t>
      </w:r>
      <w:r w:rsidRPr="000860B8">
        <w:rPr>
          <w:rFonts w:ascii="Arial" w:hAnsi="Arial" w:cs="Arial"/>
          <w:sz w:val="22"/>
          <w:szCs w:val="22"/>
          <w:vertAlign w:val="subscript"/>
        </w:rPr>
        <w:t>1</w:t>
      </w:r>
      <w:r w:rsidRPr="000860B8">
        <w:rPr>
          <w:rFonts w:ascii="Arial" w:hAnsi="Arial" w:cs="Arial"/>
          <w:sz w:val="22"/>
          <w:szCs w:val="22"/>
        </w:rPr>
        <w:t>, β</w:t>
      </w:r>
      <w:r w:rsidRPr="000860B8">
        <w:rPr>
          <w:rFonts w:ascii="Arial" w:hAnsi="Arial" w:cs="Arial"/>
          <w:sz w:val="22"/>
          <w:szCs w:val="22"/>
          <w:vertAlign w:val="subscript"/>
        </w:rPr>
        <w:t>2</w:t>
      </w:r>
      <w:r w:rsidRPr="000860B8">
        <w:rPr>
          <w:rFonts w:ascii="Arial" w:hAnsi="Arial" w:cs="Arial"/>
          <w:sz w:val="22"/>
          <w:szCs w:val="22"/>
        </w:rPr>
        <w:t>, β</w:t>
      </w:r>
      <w:r w:rsidRPr="000860B8">
        <w:rPr>
          <w:rFonts w:ascii="Arial" w:hAnsi="Arial" w:cs="Arial"/>
          <w:sz w:val="22"/>
          <w:szCs w:val="22"/>
          <w:vertAlign w:val="subscript"/>
        </w:rPr>
        <w:t>3</w:t>
      </w:r>
      <w:r w:rsidRPr="000860B8">
        <w:rPr>
          <w:rFonts w:ascii="Arial" w:hAnsi="Arial" w:cs="Arial"/>
          <w:sz w:val="22"/>
          <w:szCs w:val="22"/>
          <w:vertAlign w:val="subscript"/>
        </w:rPr>
        <w:tab/>
      </w:r>
      <w:r w:rsidRPr="000860B8">
        <w:rPr>
          <w:rFonts w:ascii="Arial" w:hAnsi="Arial" w:cs="Arial"/>
          <w:sz w:val="22"/>
          <w:szCs w:val="22"/>
        </w:rPr>
        <w:t xml:space="preserve">: </w:t>
      </w:r>
      <w:r w:rsidR="00C91F64" w:rsidRPr="000860B8">
        <w:rPr>
          <w:rFonts w:ascii="Arial" w:hAnsi="Arial" w:cs="Arial"/>
          <w:sz w:val="22"/>
          <w:szCs w:val="22"/>
        </w:rPr>
        <w:t>regression coefficient</w:t>
      </w:r>
    </w:p>
    <w:p w14:paraId="1B8D7984" w14:textId="515855E9"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ab/>
      </w:r>
      <w:r w:rsidR="00C91F64" w:rsidRPr="000860B8">
        <w:rPr>
          <w:rFonts w:ascii="Arial" w:hAnsi="Arial" w:cs="Arial"/>
          <w:sz w:val="22"/>
          <w:szCs w:val="22"/>
        </w:rPr>
        <w:t>Based on calculations using the Modified Jones Model, if the value of discretionary accruals is negative, then the company performs earnings management by reducing profits (income decreasing), whereas if the value of discretionary accruals is positive, then the company performs earnings management by increasing profits (income increasing)</w:t>
      </w:r>
      <w:proofErr w:type="gramStart"/>
      <w:r w:rsidR="00C91F64" w:rsidRPr="000860B8">
        <w:rPr>
          <w:rFonts w:ascii="Arial" w:hAnsi="Arial" w:cs="Arial"/>
          <w:sz w:val="22"/>
          <w:szCs w:val="22"/>
        </w:rPr>
        <w:t>. .</w:t>
      </w:r>
      <w:proofErr w:type="gramEnd"/>
      <w:r w:rsidR="00C91F64" w:rsidRPr="000860B8">
        <w:rPr>
          <w:rFonts w:ascii="Arial" w:hAnsi="Arial" w:cs="Arial"/>
          <w:sz w:val="22"/>
          <w:szCs w:val="22"/>
        </w:rPr>
        <w:t xml:space="preserve"> An indication that the company does not carry out earnings management if the value of discretionary accruals = 0 </w:t>
      </w:r>
      <w:r w:rsidRPr="000860B8">
        <w:rPr>
          <w:rFonts w:ascii="Arial" w:hAnsi="Arial" w:cs="Arial"/>
          <w:sz w:val="22"/>
          <w:szCs w:val="22"/>
        </w:rPr>
        <w:fldChar w:fldCharType="begin" w:fldLock="1"/>
      </w:r>
      <w:r w:rsidRPr="000860B8">
        <w:rPr>
          <w:rFonts w:ascii="Arial" w:hAnsi="Arial" w:cs="Arial"/>
          <w:sz w:val="22"/>
          <w:szCs w:val="22"/>
        </w:rPr>
        <w:instrText>ADDIN CSL_CITATION {"citationItems":[{"id":"ITEM-1","itemData":{"author":[{"dropping-particle":"","family":"Setiawan","given":"Teguh","non-dropping-particle":"","parse-names":false,"suffix":""}],"id":"ITEM-1","issued":{"date-parts":[["2009"]]},"title":"Analisis Pengaruh Mekanisme Good Corporate Governance Terhadap Praktek Manajemen Laba pada Perusahaan Manufaktur yang Terdaftar di Bursa Efek Indonesia periode 2005-2007","type":"article-journal"},"uris":["http://www.mendeley.com/documents/?uuid=3dcdf3d7-78ba-49c2-bdf7-6225a488cbdd"]}],"mendeley":{"formattedCitation":"(Setiawan, 2009)","plainTextFormattedCitation":"(Setiawan, 2009)","previouslyFormattedCitation":"(Setiawan, 2009)"},"properties":{"noteIndex":0},"schema":"https://github.com/citation-style-language/schema/raw/master/csl-citation.json"}</w:instrText>
      </w:r>
      <w:r w:rsidRPr="000860B8">
        <w:rPr>
          <w:rFonts w:ascii="Arial" w:hAnsi="Arial" w:cs="Arial"/>
          <w:sz w:val="22"/>
          <w:szCs w:val="22"/>
        </w:rPr>
        <w:fldChar w:fldCharType="separate"/>
      </w:r>
      <w:r w:rsidRPr="000860B8">
        <w:rPr>
          <w:rFonts w:ascii="Arial" w:hAnsi="Arial" w:cs="Arial"/>
          <w:noProof/>
          <w:sz w:val="22"/>
          <w:szCs w:val="22"/>
        </w:rPr>
        <w:t>(Setiawan, 2009)</w:t>
      </w:r>
      <w:r w:rsidRPr="000860B8">
        <w:rPr>
          <w:rFonts w:ascii="Arial" w:hAnsi="Arial" w:cs="Arial"/>
          <w:sz w:val="22"/>
          <w:szCs w:val="22"/>
        </w:rPr>
        <w:fldChar w:fldCharType="end"/>
      </w:r>
      <w:r w:rsidRPr="000860B8">
        <w:rPr>
          <w:rFonts w:ascii="Arial" w:hAnsi="Arial" w:cs="Arial"/>
          <w:sz w:val="22"/>
          <w:szCs w:val="22"/>
        </w:rPr>
        <w:t xml:space="preserve">. </w:t>
      </w:r>
    </w:p>
    <w:p w14:paraId="5481AD7D" w14:textId="77777777" w:rsidR="000860B8" w:rsidRDefault="000860B8" w:rsidP="000860B8">
      <w:pPr>
        <w:pStyle w:val="NormalWeb"/>
        <w:shd w:val="clear" w:color="auto" w:fill="FFFFFF"/>
        <w:spacing w:before="0" w:beforeAutospacing="0" w:after="0" w:afterAutospacing="0"/>
        <w:jc w:val="both"/>
        <w:rPr>
          <w:rFonts w:ascii="Arial" w:hAnsi="Arial" w:cs="Arial"/>
          <w:b/>
          <w:bCs/>
          <w:sz w:val="22"/>
          <w:szCs w:val="22"/>
        </w:rPr>
      </w:pPr>
    </w:p>
    <w:p w14:paraId="2D57C3CE" w14:textId="5F68DA0A" w:rsidR="00C91F64" w:rsidRPr="000860B8" w:rsidRDefault="00C91F64" w:rsidP="000860B8">
      <w:pPr>
        <w:pStyle w:val="NormalWeb"/>
        <w:shd w:val="clear" w:color="auto" w:fill="FFFFFF"/>
        <w:spacing w:before="0" w:beforeAutospacing="0" w:after="0" w:afterAutospacing="0"/>
        <w:jc w:val="both"/>
        <w:rPr>
          <w:rFonts w:ascii="Arial" w:hAnsi="Arial" w:cs="Arial"/>
          <w:b/>
          <w:bCs/>
          <w:sz w:val="22"/>
          <w:szCs w:val="22"/>
        </w:rPr>
      </w:pPr>
      <w:r w:rsidRPr="000860B8">
        <w:rPr>
          <w:rFonts w:ascii="Arial" w:hAnsi="Arial" w:cs="Arial"/>
          <w:b/>
          <w:bCs/>
          <w:sz w:val="22"/>
          <w:szCs w:val="22"/>
        </w:rPr>
        <w:t>Independent Variable</w:t>
      </w:r>
    </w:p>
    <w:p w14:paraId="24E54E81" w14:textId="6552A67B" w:rsidR="00810708" w:rsidRPr="000860B8" w:rsidRDefault="00C91F64"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The independent variable (X1) in this study is the frequency of audit committee meetings. The audit committee is a committee formed by the board of commissioners with the aim of supervising the disclosure of quality financial reports, compliance with applicable laws and regulations, and the effectiveness of appropriate internal controls.</w:t>
      </w:r>
      <w:r w:rsidRPr="000860B8">
        <w:rPr>
          <w:rFonts w:ascii="Arial" w:hAnsi="Arial" w:cs="Arial"/>
          <w:b/>
          <w:bCs/>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{"citationItems":[{"id":"ITEM-1","itemData":{"abstract":"Penelitian ini bertujuan untuk menguji dan menganalisis bukti empiris mengenai pengaruh ukuran komite audit, pertemuan komite audit, ukuran Dewan Pengawas Syariah (DPS), keahlian Dewan Pengawas Syariah (DPS), pertemuan Dewan Pengawas Syariah (DPS), remunerasi Dewan Pengawas Syariah (DPS) terhadap kinerja keuangan bank syariah. Variabel dependen dalam penelitian yaitu kinerja keuangan bank syariah yang diukur dengan Return on Asset (ROA). Penelitian ini juga mempunyai variabel kontrol yaitu ukuran bank dan umur bank. Populasi dalam penelitian yaitu seluruh perbankan syariah di 2 (dua) negara yaitu Indonesia dan Malaysia. Penentuan sampel dalam penelitian ini menggunakan teknik purposive sampling dengan kriteria tertentu. Total sampel dalam penelitian berjumlah 21 perbankan syariah selama periode 2014-2018, sehingga total pengamatan berjumlah 105 sampel. Metode analisis yang digunakan dalam penelitian yaitu model regresi linear berganda. Hasil dari analisis menunjukkan bahwa ukuran komite audit, ukuran Dewan Pengawas Syariah (DPS), keahlian Dewan Pengawas Syariah (DPS), dan remunerasi Dewan Pengawas Syariah (DPS) berpengaruh signifikan positif terhadap kinerja keuangan bank syariah, sedangkan ukuran bank memiliki pengaruh negatif. Selain itu pertemuan komite audit, pertemuan Dewan Pengawas Syariah (DPS) dan umur bank tidak berpengaruh signifikan terhadap kinerja keuangan bank syariah","author":[{"dropping-particle":"","family":"Dewi","given":"Nesia Erika","non-dropping-particle":"","parse-names":false,"suffix":""},{"dropping-particle":"","family":"Triani","given":"Ni Nyoman Alit Triani","non-dropping-particle":"","parse-names":false,"suffix":""}],"container-title":"Skripsi Universitas Diponegoro Semarang","id":"ITEM-1","issued":{"date-parts":[["2020"]]},"page":"117","title":"Pengaruh Komite Audit dan Kepemilikan Institusional terhadap Manajemen Laba pada Perusahaan Manufaktur di Indonesia","type":"article-journal"},"uris":["http://www.mendeley.com/documents/?uuid=c9be00b3-a55e-4a45-9b61-94f4b2b3825b"]}],"mendeley":{"formattedCitation":"(Dewi &amp; Triani, 2020)","plainTextFormattedCitation":"(Dewi &amp; Triani, 2020)","previouslyFormattedCitation":"(Dewi &amp; Triani, 2020)"},"properties":{"noteIndex":0},"schema":"https://github.com/citation-style-language/schema/raw/master/csl-citation.json"}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(Dewi &amp; Triani, 2020)</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In this study, the focus will be on the frequency of audit committee meetings. The frequency of audit committee meetings is measured by counting the number of audit committee meetings for one year.</w:t>
      </w:r>
    </w:p>
    <w:p w14:paraId="38605E4E" w14:textId="77777777" w:rsidR="00C91F64" w:rsidRPr="000860B8" w:rsidRDefault="00C91F64" w:rsidP="000860B8">
      <w:pPr>
        <w:pStyle w:val="NormalWeb"/>
        <w:shd w:val="clear" w:color="auto" w:fill="FFFFFF"/>
        <w:spacing w:before="0" w:beforeAutospacing="0" w:after="0" w:afterAutospacing="0"/>
        <w:rPr>
          <w:rFonts w:ascii="Arial" w:hAnsi="Arial" w:cs="Arial"/>
          <w:b/>
          <w:bCs/>
          <w:sz w:val="22"/>
          <w:szCs w:val="22"/>
        </w:rPr>
      </w:pPr>
    </w:p>
    <w:p w14:paraId="22196511" w14:textId="4346F778" w:rsidR="00C91F64" w:rsidRPr="000860B8" w:rsidRDefault="00C91F64"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Frequency of audit committee meetings = ∑ audit committee meetings</w:t>
      </w:r>
    </w:p>
    <w:p w14:paraId="2BFB5774" w14:textId="77777777" w:rsidR="00E83DF3" w:rsidRPr="000860B8" w:rsidRDefault="00E83DF3" w:rsidP="000860B8">
      <w:pPr>
        <w:pStyle w:val="NormalWeb"/>
        <w:shd w:val="clear" w:color="auto" w:fill="FFFFFF"/>
        <w:spacing w:before="0" w:beforeAutospacing="0" w:after="0" w:afterAutospacing="0"/>
        <w:jc w:val="center"/>
        <w:rPr>
          <w:rFonts w:ascii="Arial" w:hAnsi="Arial" w:cs="Arial"/>
          <w:sz w:val="22"/>
          <w:szCs w:val="22"/>
        </w:rPr>
      </w:pPr>
    </w:p>
    <w:p w14:paraId="2DF70579" w14:textId="7227E9FA" w:rsidR="00810708" w:rsidRPr="000860B8" w:rsidRDefault="00E83DF3"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 xml:space="preserve">The next independent variable (X2) is corporate social responsibility (CSR) disclosure. Disclosure of corporate social responsibility is one of the disclosures of information related to social responsibility carried out by the company to stakeholders through an annual report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{"citationItems":[{"id":"ITEM-1","itemData":{"abstract":"This research was aimed to know the influence of conservatism accounting and corporate social responsibility (CSR) disclosure on earnings management. Variable of conservatism accounting was proxied by accrual. Variable of corporate social responsibility (CSR) disclosure was proxied by corporate social responsibility index (CSRI) which refers to guidelines corporate social responsibility index (CSRI) version GRI-G4 and GRI Standard. Sample used in this research was mining companies listed in IDX (Indonesian Stock Exchange) from 2015 – 2017. Sampling technique used in this research was purposive sampling. Samples collected in this research were 31 companies, a total of 93 data. Data analysis used in this research was descriptive statistics and data panel regression analysis. Software used to run data was evies 7. The results of this research showd as follow. Simultaneously, conservatism accounting and coporate social responsibility (CSR) disclosure had influence on earnings management. Partially, conservatism accounting had influence on earnings management, while corporate social responsibility (CSR) disclosure had no influence on earnings management.","author":[{"dropping-particle":"","family":"Warislan","given":"Putri","non-dropping-particle":"","parse-names":false,"suffix":""},{"dropping-particle":"","family":"Putra","given":"Wirmi Eka","non-dropping-particle":"","parse-names":false,"suffix":""},{"dropping-particle":"","family":"Tiswiyanti","given":"Wiwik","non-dropping-particle":"","parse-names":false,"suffix":""}],"container-title":"Jurnal Akuntansi dan Auditing","id":"ITEM-1","issue":"2","issued":{"date-parts":[["2018"]]},"page":"221-243","title":"Pengaruh Konservatisme Akuntansi dan Pengungkapan Corporate Social Responsibility (CSR) terhadap Manajemen Laba (Studi Empiris pada Perusahaan Pertambangan yang Terdaftar di Bursa Efek Indonesia Periode 2015-2017)","type":"article-journal","volume":"15"},"uris":["http://www.mendeley.com/documents/?uuid=889f17be-c20e-45b6-8dbf-c6bed97c599c"]}],"mendeley":{"formattedCitation":"(Warislan et al., 2018)","plainTextFormattedCitation":"(Warislan et al., 2018)","previouslyFormattedCitation":"(Warislan et al., 2018)"},"properties":{"noteIndex":0},"schema":"https://github.com/citation-style-language/schema/raw/master/csl-citation.json"}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 xml:space="preserve">(Warislan </w:t>
      </w:r>
      <w:r w:rsidR="00810708" w:rsidRPr="000860B8">
        <w:rPr>
          <w:rFonts w:ascii="Arial" w:hAnsi="Arial" w:cs="Arial"/>
          <w:i/>
          <w:iCs/>
          <w:noProof/>
          <w:sz w:val="22"/>
          <w:szCs w:val="22"/>
        </w:rPr>
        <w:t>et al</w:t>
      </w:r>
      <w:r w:rsidR="00810708" w:rsidRPr="000860B8">
        <w:rPr>
          <w:rFonts w:ascii="Arial" w:hAnsi="Arial" w:cs="Arial"/>
          <w:noProof/>
          <w:sz w:val="22"/>
          <w:szCs w:val="22"/>
        </w:rPr>
        <w:t>., 2018)</w:t>
      </w:r>
      <w:r w:rsidR="00810708" w:rsidRPr="000860B8">
        <w:rPr>
          <w:rFonts w:ascii="Arial" w:hAnsi="Arial" w:cs="Arial"/>
          <w:sz w:val="22"/>
          <w:szCs w:val="22"/>
        </w:rPr>
        <w:fldChar w:fldCharType="end"/>
      </w:r>
      <w:r w:rsidR="00810708" w:rsidRPr="000860B8">
        <w:rPr>
          <w:rFonts w:ascii="Arial" w:hAnsi="Arial" w:cs="Arial"/>
          <w:sz w:val="22"/>
          <w:szCs w:val="22"/>
        </w:rPr>
        <w:t>.</w:t>
      </w:r>
      <w:r w:rsidRPr="000860B8">
        <w:rPr>
          <w:rFonts w:ascii="Arial" w:hAnsi="Arial" w:cs="Arial"/>
          <w:sz w:val="22"/>
          <w:szCs w:val="22"/>
        </w:rPr>
        <w:t xml:space="preserve"> Disclosure of corporate social responsibility in this study was measured following the guidelines of the Global Reporting Initiative (GRI) instruments, namely GRI 200 (Economics), GRI 300 (Environment), and </w:t>
      </w:r>
      <w:r w:rsidRPr="000860B8">
        <w:rPr>
          <w:rFonts w:ascii="Arial" w:hAnsi="Arial" w:cs="Arial"/>
          <w:sz w:val="22"/>
          <w:szCs w:val="22"/>
        </w:rPr>
        <w:lastRenderedPageBreak/>
        <w:t>GRI 400 (Social) contained in the GRI Standard. This approach basically uses a dichotomous approach, in which each CSR item in the research is given a value of 1 if disclosed and 0 if not disclosed. Furthermore, the score of each category of information from the Sustainability Report or Annual Report is summed up to obtain the overall score for each company. Measurement of corporate social responsibility disclosure uses the following formula:</w:t>
      </w:r>
    </w:p>
    <w:p w14:paraId="7899C8AC" w14:textId="77777777" w:rsidR="00810708" w:rsidRPr="000860B8" w:rsidRDefault="00810708"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CSR</w:t>
      </w:r>
      <w:r w:rsidRPr="000860B8">
        <w:rPr>
          <w:rFonts w:ascii="Arial" w:hAnsi="Arial" w:cs="Arial"/>
          <w:b/>
          <w:bCs/>
          <w:sz w:val="22"/>
          <w:szCs w:val="22"/>
          <w:vertAlign w:val="subscript"/>
        </w:rPr>
        <w:t>it-1</w:t>
      </w:r>
      <w:r w:rsidRPr="000860B8">
        <w:rPr>
          <w:rFonts w:ascii="Arial" w:hAnsi="Arial" w:cs="Arial"/>
          <w:b/>
          <w:bCs/>
          <w:sz w:val="22"/>
          <w:szCs w:val="22"/>
        </w:rPr>
        <w:t xml:space="preserve"> = </w:t>
      </w:r>
      <m:oMath>
        <m:f>
          <m:fPr>
            <m:ctrlPr>
              <w:rPr>
                <w:rFonts w:ascii="Cambria Math" w:hAnsi="Cambria Math" w:cs="Arial"/>
                <w:b/>
                <w:bCs/>
                <w:i/>
                <w:sz w:val="22"/>
                <w:szCs w:val="22"/>
              </w:rPr>
            </m:ctrlPr>
          </m:fPr>
          <m:num>
            <m:r>
              <m:rPr>
                <m:sty m:val="bi"/>
              </m:rPr>
              <w:rPr>
                <w:rFonts w:ascii="Cambria Math" w:hAnsi="Cambria Math" w:cs="Arial"/>
                <w:sz w:val="22"/>
                <w:szCs w:val="22"/>
              </w:rPr>
              <m:t>∑XKy</m:t>
            </m:r>
          </m:num>
          <m:den>
            <m:r>
              <m:rPr>
                <m:sty m:val="bi"/>
              </m:rPr>
              <w:rPr>
                <w:rFonts w:ascii="Cambria Math" w:hAnsi="Cambria Math" w:cs="Arial"/>
                <w:sz w:val="22"/>
                <w:szCs w:val="22"/>
              </w:rPr>
              <m:t>ny</m:t>
            </m:r>
          </m:den>
        </m:f>
      </m:oMath>
    </w:p>
    <w:p w14:paraId="3EB466E5" w14:textId="4D1DD947" w:rsidR="00810708" w:rsidRPr="000860B8" w:rsidRDefault="00E83DF3"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information</w:t>
      </w:r>
      <w:r w:rsidR="00810708" w:rsidRPr="000860B8">
        <w:rPr>
          <w:rFonts w:ascii="Arial" w:hAnsi="Arial" w:cs="Arial"/>
          <w:sz w:val="22"/>
          <w:szCs w:val="22"/>
        </w:rPr>
        <w:t xml:space="preserve">: </w:t>
      </w:r>
    </w:p>
    <w:p w14:paraId="29DC3523" w14:textId="42A22AAB"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CSR</w:t>
      </w:r>
      <w:r w:rsidRPr="000860B8">
        <w:rPr>
          <w:rFonts w:ascii="Arial" w:hAnsi="Arial" w:cs="Arial"/>
          <w:sz w:val="22"/>
          <w:szCs w:val="22"/>
          <w:vertAlign w:val="subscript"/>
        </w:rPr>
        <w:t>it-1</w:t>
      </w:r>
      <w:r w:rsidRPr="000860B8">
        <w:rPr>
          <w:rFonts w:ascii="Arial" w:hAnsi="Arial" w:cs="Arial"/>
          <w:sz w:val="22"/>
          <w:szCs w:val="22"/>
        </w:rPr>
        <w:tab/>
        <w:t xml:space="preserve">= </w:t>
      </w:r>
      <w:r w:rsidR="00EA1A9B" w:rsidRPr="000860B8">
        <w:rPr>
          <w:rFonts w:ascii="Arial" w:hAnsi="Arial" w:cs="Arial"/>
          <w:sz w:val="22"/>
          <w:szCs w:val="22"/>
        </w:rPr>
        <w:t xml:space="preserve">Disclosure of corporate social responsibility company </w:t>
      </w:r>
      <w:proofErr w:type="spellStart"/>
      <w:proofErr w:type="gramStart"/>
      <w:r w:rsidR="00EA1A9B" w:rsidRPr="000860B8">
        <w:rPr>
          <w:rFonts w:ascii="Arial" w:hAnsi="Arial" w:cs="Arial"/>
          <w:sz w:val="22"/>
          <w:szCs w:val="22"/>
        </w:rPr>
        <w:t>i</w:t>
      </w:r>
      <w:proofErr w:type="spellEnd"/>
      <w:r w:rsidR="00EA1A9B" w:rsidRPr="000860B8">
        <w:rPr>
          <w:rFonts w:ascii="Arial" w:hAnsi="Arial" w:cs="Arial"/>
          <w:sz w:val="22"/>
          <w:szCs w:val="22"/>
        </w:rPr>
        <w:t xml:space="preserve"> year</w:t>
      </w:r>
      <w:proofErr w:type="gramEnd"/>
      <w:r w:rsidR="00EA1A9B" w:rsidRPr="000860B8">
        <w:rPr>
          <w:rFonts w:ascii="Arial" w:hAnsi="Arial" w:cs="Arial"/>
          <w:sz w:val="22"/>
          <w:szCs w:val="22"/>
        </w:rPr>
        <w:t xml:space="preserve"> t-1 (previous year)</w:t>
      </w:r>
    </w:p>
    <w:p w14:paraId="7FEF404D" w14:textId="0900C102" w:rsidR="00810708" w:rsidRPr="000860B8" w:rsidRDefault="00810708" w:rsidP="000860B8">
      <w:pPr>
        <w:pStyle w:val="NormalWeb"/>
        <w:shd w:val="clear" w:color="auto" w:fill="FFFFFF"/>
        <w:spacing w:before="0" w:beforeAutospacing="0" w:after="0" w:afterAutospacing="0"/>
        <w:ind w:left="720" w:hanging="720"/>
        <w:jc w:val="both"/>
        <w:rPr>
          <w:rFonts w:ascii="Arial" w:hAnsi="Arial" w:cs="Arial"/>
          <w:sz w:val="22"/>
          <w:szCs w:val="22"/>
        </w:rPr>
      </w:pPr>
      <w:r w:rsidRPr="000860B8">
        <w:rPr>
          <w:rFonts w:ascii="Arial" w:hAnsi="Arial" w:cs="Arial"/>
          <w:sz w:val="22"/>
          <w:szCs w:val="22"/>
        </w:rPr>
        <w:t>∑</w:t>
      </w:r>
      <w:proofErr w:type="spellStart"/>
      <w:r w:rsidRPr="000860B8">
        <w:rPr>
          <w:rFonts w:ascii="Arial" w:hAnsi="Arial" w:cs="Arial"/>
          <w:sz w:val="22"/>
          <w:szCs w:val="22"/>
        </w:rPr>
        <w:t>XKy</w:t>
      </w:r>
      <w:proofErr w:type="spellEnd"/>
      <w:r w:rsidRPr="000860B8">
        <w:rPr>
          <w:rFonts w:ascii="Arial" w:hAnsi="Arial" w:cs="Arial"/>
          <w:sz w:val="22"/>
          <w:szCs w:val="22"/>
        </w:rPr>
        <w:tab/>
        <w:t xml:space="preserve">= </w:t>
      </w:r>
      <w:r w:rsidR="00016AEF" w:rsidRPr="000860B8">
        <w:rPr>
          <w:rFonts w:ascii="Arial" w:hAnsi="Arial" w:cs="Arial"/>
          <w:sz w:val="22"/>
          <w:szCs w:val="22"/>
        </w:rPr>
        <w:t>Total of 1 for the category of information disclosed, 0 for the category of information not disclosed.</w:t>
      </w:r>
    </w:p>
    <w:p w14:paraId="51145E83" w14:textId="77777777" w:rsidR="005358FC" w:rsidRPr="000860B8" w:rsidRDefault="00810708" w:rsidP="000860B8">
      <w:pPr>
        <w:pStyle w:val="NormalWeb"/>
        <w:shd w:val="clear" w:color="auto" w:fill="FFFFFF"/>
        <w:spacing w:before="0" w:beforeAutospacing="0" w:after="0" w:afterAutospacing="0"/>
        <w:ind w:left="720" w:hanging="720"/>
        <w:jc w:val="both"/>
        <w:rPr>
          <w:rFonts w:ascii="Arial" w:hAnsi="Arial" w:cs="Arial"/>
          <w:sz w:val="22"/>
          <w:szCs w:val="22"/>
        </w:rPr>
      </w:pPr>
      <w:proofErr w:type="spellStart"/>
      <w:r w:rsidRPr="000860B8">
        <w:rPr>
          <w:rFonts w:ascii="Arial" w:hAnsi="Arial" w:cs="Arial"/>
          <w:sz w:val="22"/>
          <w:szCs w:val="22"/>
        </w:rPr>
        <w:t>ny</w:t>
      </w:r>
      <w:proofErr w:type="spellEnd"/>
      <w:r w:rsidRPr="000860B8">
        <w:rPr>
          <w:rFonts w:ascii="Arial" w:hAnsi="Arial" w:cs="Arial"/>
          <w:sz w:val="22"/>
          <w:szCs w:val="22"/>
        </w:rPr>
        <w:tab/>
        <w:t xml:space="preserve">= </w:t>
      </w:r>
      <w:r w:rsidR="005358FC" w:rsidRPr="000860B8">
        <w:rPr>
          <w:rFonts w:ascii="Arial" w:hAnsi="Arial" w:cs="Arial"/>
          <w:sz w:val="22"/>
          <w:szCs w:val="22"/>
        </w:rPr>
        <w:t>total disclosure items</w:t>
      </w:r>
    </w:p>
    <w:p w14:paraId="3BEBED36" w14:textId="77777777" w:rsidR="005358FC" w:rsidRPr="000860B8" w:rsidRDefault="005358FC" w:rsidP="000860B8">
      <w:pPr>
        <w:pStyle w:val="NormalWeb"/>
        <w:shd w:val="clear" w:color="auto" w:fill="FFFFFF"/>
        <w:spacing w:before="0" w:beforeAutospacing="0" w:after="0" w:afterAutospacing="0"/>
        <w:ind w:left="720" w:hanging="720"/>
        <w:jc w:val="both"/>
        <w:rPr>
          <w:rFonts w:ascii="Arial" w:hAnsi="Arial" w:cs="Arial"/>
          <w:sz w:val="22"/>
          <w:szCs w:val="22"/>
        </w:rPr>
      </w:pPr>
    </w:p>
    <w:p w14:paraId="42765834" w14:textId="77777777" w:rsidR="005358FC" w:rsidRPr="000860B8" w:rsidRDefault="005358FC" w:rsidP="000860B8">
      <w:pPr>
        <w:pStyle w:val="NormalWeb"/>
        <w:shd w:val="clear" w:color="auto" w:fill="FFFFFF"/>
        <w:spacing w:before="0" w:beforeAutospacing="0" w:after="0" w:afterAutospacing="0"/>
        <w:jc w:val="both"/>
        <w:rPr>
          <w:rFonts w:ascii="Arial" w:hAnsi="Arial" w:cs="Arial"/>
          <w:b/>
          <w:bCs/>
          <w:sz w:val="22"/>
          <w:szCs w:val="22"/>
        </w:rPr>
      </w:pPr>
      <w:r w:rsidRPr="000860B8">
        <w:rPr>
          <w:rFonts w:ascii="Arial" w:hAnsi="Arial" w:cs="Arial"/>
          <w:b/>
          <w:bCs/>
          <w:sz w:val="22"/>
          <w:szCs w:val="22"/>
        </w:rPr>
        <w:t>Control Variables</w:t>
      </w:r>
    </w:p>
    <w:p w14:paraId="7421A561" w14:textId="77777777" w:rsidR="005358FC" w:rsidRPr="000860B8" w:rsidRDefault="005358FC"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In this study, company size (Size) is used as a control variable. Size is the size of the company which explains the size of the company seen from the total assets, average total sales, as well as the number of sales and average assets</w:t>
      </w:r>
      <w:r w:rsidR="00810708" w:rsidRPr="000860B8">
        <w:rPr>
          <w:rFonts w:ascii="Arial" w:hAnsi="Arial" w:cs="Arial"/>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{"citationItems":[{"id":"ITEM-1","itemData":{"author":[{"dropping-particle":"","family":"Samara","given":"Yeremia Reinhard","non-dropping-particle":"","parse-names":false,"suffix":""},{"dropping-particle":"","family":"Davianti","given":"Arthik","non-dropping-particle":"","parse-names":false,"suffix":""},{"dropping-particle":"","family":"Kristen","given":"Universitas","non-dropping-particle":"","parse-names":false,"suffix":""},{"dropping-particle":"","family":"Wacana","given":"Satya","non-dropping-particle":"","parse-names":false,"suffix":""}],"id":"ITEM-1","issued":{"date-parts":[["2020"]]},"title":"Pengaruh Faktor Finansial dan Non-Finansial terhadap Pengungkapan Corporate Social Responsibility (CSR) pada Perusahaan Publik","type":"article-journal"},"uris":["http://www.mendeley.com/documents/?uuid=16a03b63-4fcd-4ab2-b370-7fe7edaec0f7"]}],"mendeley":{"formattedCitation":"(Samara et al., 2020)","plainTextFormattedCitation":"(Samara et al., 2020)","previouslyFormattedCitation":"(Samara et al., 2020)"},"properties":{"noteIndex":0},"schema":"https://github.com/citation-style-language/schema/raw/master/csl-citation.json"}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 xml:space="preserve">(Samara </w:t>
      </w:r>
      <w:r w:rsidR="00810708" w:rsidRPr="000860B8">
        <w:rPr>
          <w:rFonts w:ascii="Arial" w:hAnsi="Arial" w:cs="Arial"/>
          <w:i/>
          <w:iCs/>
          <w:noProof/>
          <w:sz w:val="22"/>
          <w:szCs w:val="22"/>
        </w:rPr>
        <w:t>et al</w:t>
      </w:r>
      <w:r w:rsidR="00810708" w:rsidRPr="000860B8">
        <w:rPr>
          <w:rFonts w:ascii="Arial" w:hAnsi="Arial" w:cs="Arial"/>
          <w:noProof/>
          <w:sz w:val="22"/>
          <w:szCs w:val="22"/>
        </w:rPr>
        <w:t>., 2020)</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The total assets of a company can be used as a standard whether the company is classified as large or not</w:t>
      </w:r>
      <w:r w:rsidR="00810708" w:rsidRPr="000860B8">
        <w:rPr>
          <w:rFonts w:ascii="Arial" w:hAnsi="Arial" w:cs="Arial"/>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{"citationItems":[{"id":"ITEM-1","itemData":{"author":[{"dropping-particle":"","family":"Panjaitan","given":"Desri Kristianti","non-dropping-particle":"","parse-names":false,"suffix":""},{"dropping-particle":"","family":"Muslih","given":"Muhamad","non-dropping-particle":"","parse-names":false,"suffix":""}],"container-title":"Jurnal ASET (Akuntansi Riset) (Akuntansi Riset)","id":"ITEM-1","issue":"1","issued":{"date-parts":[["2019"]]},"page":"1-20","title":"Manajemen Laba : Ukuran Perusahaan, Kepemilikan Manajerial dan Kompensasi Bonus","type":"article-journal","volume":"11 (1)"},"uris":["http://www.mendeley.com/documents/?uuid=aa0d1027-f5e0-4396-90c2-f6d3e67e03e1"]}],"mendeley":{"formattedCitation":"(Panjaitan &amp; Muslih, 2019)","plainTextFormattedCitation":"(Panjaitan &amp; Muslih, 2019)","previouslyFormattedCitation":"(Panjaitan &amp; Muslih, 2019)"},"properties":{"noteIndex":0},"schema":"https://github.com/citation-style-language/schema/raw/master/csl-citation.json"}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(Panjaitan &amp; Muslih, 2019)</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 xml:space="preserve">The larger the size of a company, the more information that must be available to shareholders and investors in making decisions and also increasing the trust of shareholders and investors. This shows that the larger the size of the company, the smaller the earnings management is done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{"citationItems":[{"id":"ITEM-1","itemData":{"abstract":"The purpose of this study was to know the influence of NPM , FDR, Audit Committee, the sales growth (growth), leverage and size of the company earnings management practices of Islamic banking in Indonesia. The dependent variable used in this study was calculated using the earnings management of discretionary accruals. The independent variables used in this study is the net profit margin ratio, the ratio of Financing to Deposit Ratio, the Audit Committee, Sales Growth (Growth), Leverage and Firm Size. The sample in the study of Islamic banking, comprising both Sharia Bank or Sharia in commercial banks by the Financial Services Authority statistics as of June 2015. The sample was selected using purposive sampling was then obtained 6 Islamic Banks and 12 Sharia sampled in this study , The results of this study indicate that there is significant influence between NPM ratio to earnings management of Islamic banking. As for the ratio of FDR, the Audit Committee, Growth, Leverage and Size (size of the company) had no significant effect on earnings management practices in Islamic banking","author":[{"dropping-particle":"","family":"Nahar","given":"Mahfudzotun","non-dropping-particle":"","parse-names":false,"suffix":""},{"dropping-particle":"","family":"Erawati","given":"Taguh","non-dropping-particle":"","parse-names":false,"suffix":""}],"container-title":"Akuntansi Dewantara","id":"ITEM-1","issue":"1","issued":{"date-parts":[["2017"]]},"page":"63-74","title":"Pengaruh NPM, FDR, Komite Audit, Pertumbuhan Usaha, Leverage dan Size terhadap Manajemen Laba","type":"article-journal","volume":"1"},"uris":["http://www.mendeley.com/documents/?uuid=9fe92947-066f-4245-b99b-6f4a833852f4"]}],"mendeley":{"formattedCitation":"(Nahar &amp; Erawati, 2017)","plainTextFormattedCitation":"(Nahar &amp; Erawati, 2017)","previouslyFormattedCitation":"(Nahar &amp; Erawati, 2017)"},"properties":{"noteIndex":0},"schema":"https://github.com/citation-style-language/schema/raw/master/csl-citation.json"}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(Nahar &amp; Erawati, 2017)</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Size is measured using the natural log (Ln) of the company's total assets for that year.</w:t>
      </w:r>
    </w:p>
    <w:p w14:paraId="006AB4E9" w14:textId="77777777" w:rsidR="00D40719" w:rsidRPr="000860B8" w:rsidRDefault="00D40719" w:rsidP="000860B8">
      <w:pPr>
        <w:pStyle w:val="NormalWeb"/>
        <w:shd w:val="clear" w:color="auto" w:fill="FFFFFF"/>
        <w:spacing w:before="0" w:beforeAutospacing="0" w:after="0" w:afterAutospacing="0"/>
        <w:jc w:val="both"/>
        <w:rPr>
          <w:rFonts w:ascii="Arial" w:hAnsi="Arial" w:cs="Arial"/>
          <w:b/>
          <w:bCs/>
          <w:sz w:val="22"/>
          <w:szCs w:val="22"/>
        </w:rPr>
      </w:pPr>
    </w:p>
    <w:p w14:paraId="49D26DDA" w14:textId="09A0FF31" w:rsidR="005358FC" w:rsidRPr="000860B8" w:rsidRDefault="005358FC" w:rsidP="000860B8">
      <w:pPr>
        <w:pStyle w:val="NormalWeb"/>
        <w:shd w:val="clear" w:color="auto" w:fill="FFFFFF"/>
        <w:spacing w:before="0" w:beforeAutospacing="0" w:after="0" w:afterAutospacing="0"/>
        <w:jc w:val="both"/>
        <w:rPr>
          <w:rFonts w:ascii="Arial" w:hAnsi="Arial" w:cs="Arial"/>
          <w:b/>
          <w:bCs/>
          <w:sz w:val="22"/>
          <w:szCs w:val="22"/>
        </w:rPr>
      </w:pPr>
      <w:r w:rsidRPr="000860B8">
        <w:rPr>
          <w:rFonts w:ascii="Arial" w:hAnsi="Arial" w:cs="Arial"/>
          <w:b/>
          <w:bCs/>
          <w:sz w:val="22"/>
          <w:szCs w:val="22"/>
        </w:rPr>
        <w:t>Data analysis technique</w:t>
      </w:r>
    </w:p>
    <w:p w14:paraId="34E86246" w14:textId="1E6528D7" w:rsidR="00810708" w:rsidRPr="000860B8" w:rsidRDefault="005358FC" w:rsidP="000860B8">
      <w:pPr>
        <w:pStyle w:val="NormalWeb"/>
        <w:shd w:val="clear" w:color="auto" w:fill="FFFFFF"/>
        <w:spacing w:before="0" w:beforeAutospacing="0" w:after="0" w:afterAutospacing="0"/>
        <w:ind w:firstLine="720"/>
        <w:jc w:val="both"/>
        <w:rPr>
          <w:rFonts w:ascii="Arial" w:hAnsi="Arial" w:cs="Arial"/>
          <w:b/>
          <w:bCs/>
          <w:sz w:val="22"/>
          <w:szCs w:val="22"/>
        </w:rPr>
      </w:pPr>
      <w:r w:rsidRPr="000860B8">
        <w:rPr>
          <w:rFonts w:ascii="Arial" w:hAnsi="Arial" w:cs="Arial"/>
          <w:sz w:val="22"/>
          <w:szCs w:val="22"/>
        </w:rPr>
        <w:t>The stages of data analysis techniques used to solve the problems in this study are descriptive statistics, classical assumption tests and hypothesis testing. Descriptive statistics are used as an illustration of the research variables, namely the Frequency of Audit Committee Meetings, Corporate Social Responsibility (CSR), and Earnings Management, so that they can be used as a basis for further analysis regarding the minimum value, maximum value, mean and standard deviation</w:t>
      </w:r>
      <w:r w:rsidR="00810708" w:rsidRPr="000860B8">
        <w:rPr>
          <w:rFonts w:ascii="Arial" w:hAnsi="Arial" w:cs="Arial"/>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{"citationItems":[{"id":"ITEM-1","itemData":{"abstract":"Penelitian ini bertujuan untuk mengetahui dan menganalisis pengaruh Corporate Social Responsibility dan Tax Avoidance terhadap Manajemen Laba pada Perusahaan Aneka Industri yang terdaftar di Bursa Efek Indonesia periode 2017-2019. Populasi adalah seluruh laporan keuangan dan laporan tahunan Perusahaan Aneka Industri yang terdaftar di BEI periode 2017-2019 sebanyak 51 perusahaan. Penentuan sampel dalam penelitian ini dengan memperhatikan laporan keuangan dan tahunan yang melakukan kegiatan corporate social responsibility yaitu sampel sebanyak 24 perusahaan dengan data sebanyak 72 laporan keuangan dan laporan tahunan. Hasil menunjukkan bahwa corporate social responsibility dan tax avoidance secara simultan berpengaruh signifikan terhadap manajemen laba, dan secara parsial berpengaruh terhadap manajemen laba. Hasil dari pengujian hipotesis menunjukkan bahwa corporate social responsibility berpengaruh negatif dan signifikan terhadap manajemen laba dan tax avoidance berpengaruh negatif dan signifikan terhadap manajemen laba. Determinasi nilai R-square yang diperoleh secara praktis dapat dikatakan bahwa kontribusi corporate social responsibility dan tax avoidance terhadap manajemen laba adalah 54,3%, sisanya 46,7% dipengaruhi oleh faktor lain.","author":[{"dropping-particle":"","family":"Rumapea","given":"Melanthon","non-dropping-particle":"","parse-names":false,"suffix":""},{"dropping-particle":"","family":"Purba","given":"Dimita H P","non-dropping-particle":"","parse-names":false,"suffix":""},{"dropping-particle":"","family":"Stenardy","given":"Stenardy","non-dropping-particle":"","parse-names":false,"suffix":""}],"container-title":"Jurnal Akuntansi dan Keuangan Methodist","id":"ITEM-1","issue":"2","issued":{"date-parts":[["2021"]]},"page":"210-224","title":"Pengaruh Corporate Social Responsibility dan Tax Avoidance terhadap Manajemen Laba pada Perusaaan Aneka Industri yang Terdaftar di BEI Periode 2017-2019","type":"article-journal","volume":"4"},"uris":["http://www.mendeley.com/documents/?uuid=7cdd3d52-e1d1-44e4-bda3-4ce386ecc97e"]}],"mendeley":{"formattedCitation":"(Rumapea et al., 2021a)","plainTextFormattedCitation":"(Rumapea et al., 2021a)","previouslyFormattedCitation":"(Rumapea et al., 2021a)"},"properties":{"noteIndex":0},"schema":"https://github.com/citation-style-language/schema/raw/master/csl-citation.json"}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(Rumapea et al., 2021a)</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00D40719" w:rsidRPr="000860B8">
        <w:rPr>
          <w:rFonts w:ascii="Arial" w:hAnsi="Arial" w:cs="Arial"/>
          <w:sz w:val="22"/>
          <w:szCs w:val="22"/>
        </w:rPr>
        <w:t xml:space="preserve">The classic assumption test that will be used is the normality test, multicollinearity test, heteroscedasticity test, and autocorrelation test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{"citationItems":[{"id":"ITEM-1","itemData":{"author":[{"dropping-particle":"","family":"Ghozali","given":"Imam","non-dropping-particle":"","parse-names":false,"suffix":""}],"edition":"8","id":"ITEM-1","issued":{"date-parts":[["2016"]]},"publisher":"Badan Penerbit Universitas Diponegoro","publisher-place":"Semarang","title":"Aplikasi Analisis Multivariate dengan Program IBM SPSS 23 (Edisi 8)","type":"book"},"uris":["http://www.mendeley.com/documents/?uuid=a51e1ec7-b244-4189-80ce-cbe998054d47"]}],"mendeley":{"formattedCitation":"(Ghozali, 2016)","plainTextFormattedCitation":"(Ghozali, 2016)","previouslyFormattedCitation":"(Ghozali, 2016)"},"properties":{"noteIndex":0},"schema":"https://github.com/citation-style-language/schema/raw/master/csl-citation.json"}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(Ghozali, 2016)</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00D40719" w:rsidRPr="000860B8">
        <w:rPr>
          <w:rFonts w:ascii="Arial" w:hAnsi="Arial" w:cs="Arial"/>
          <w:sz w:val="22"/>
          <w:szCs w:val="22"/>
        </w:rPr>
        <w:t>To test the hypothesis in this study will use a multiple linear regression model. Before using the multiple linear regression model, an analysis of the correlation coefficient (R2), the coefficient of determination (adjusted R2), and the simultaneous test (F-test) will be carried out. Multiple linear regression analysis techniques are used to examine the effect of two or more independent variables on the dependent variable. The multiple linear regression model to be used in this study is as follows:</w:t>
      </w:r>
    </w:p>
    <w:p w14:paraId="520EEA4D" w14:textId="77777777" w:rsidR="00810708" w:rsidRPr="000860B8" w:rsidRDefault="00810708"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ML = α + β1KA + β2CSR + β3</w:t>
      </w:r>
      <w:r w:rsidRPr="000860B8">
        <w:rPr>
          <w:rFonts w:ascii="Arial" w:hAnsi="Arial" w:cs="Arial"/>
          <w:b/>
          <w:bCs/>
          <w:i/>
          <w:iCs/>
          <w:sz w:val="22"/>
          <w:szCs w:val="22"/>
        </w:rPr>
        <w:t xml:space="preserve">Size </w:t>
      </w:r>
      <w:r w:rsidRPr="000860B8">
        <w:rPr>
          <w:rFonts w:ascii="Arial" w:hAnsi="Arial" w:cs="Arial"/>
          <w:b/>
          <w:bCs/>
          <w:sz w:val="22"/>
          <w:szCs w:val="22"/>
        </w:rPr>
        <w:t>+ ɛ</w:t>
      </w:r>
    </w:p>
    <w:p w14:paraId="68A3C621" w14:textId="6DEFEA80" w:rsidR="00810708" w:rsidRPr="000860B8" w:rsidRDefault="00D40719"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information</w:t>
      </w:r>
      <w:r w:rsidR="00810708" w:rsidRPr="000860B8">
        <w:rPr>
          <w:rFonts w:ascii="Arial" w:hAnsi="Arial" w:cs="Arial"/>
          <w:sz w:val="22"/>
          <w:szCs w:val="22"/>
        </w:rPr>
        <w:t xml:space="preserve">: </w:t>
      </w:r>
    </w:p>
    <w:p w14:paraId="17967539" w14:textId="3BE47586"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ML</w:t>
      </w:r>
      <w:r w:rsidRPr="000860B8">
        <w:rPr>
          <w:rFonts w:ascii="Arial" w:hAnsi="Arial" w:cs="Arial"/>
          <w:sz w:val="22"/>
          <w:szCs w:val="22"/>
        </w:rPr>
        <w:tab/>
      </w:r>
      <w:r w:rsidRPr="000860B8">
        <w:rPr>
          <w:rFonts w:ascii="Arial" w:hAnsi="Arial" w:cs="Arial"/>
          <w:sz w:val="22"/>
          <w:szCs w:val="22"/>
        </w:rPr>
        <w:tab/>
        <w:t xml:space="preserve">= </w:t>
      </w:r>
      <w:r w:rsidR="00D40719" w:rsidRPr="000860B8">
        <w:rPr>
          <w:rFonts w:ascii="Arial" w:hAnsi="Arial" w:cs="Arial"/>
          <w:sz w:val="22"/>
          <w:szCs w:val="22"/>
        </w:rPr>
        <w:t>Profit management</w:t>
      </w:r>
    </w:p>
    <w:p w14:paraId="021BB718" w14:textId="27BCAFD8"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 xml:space="preserve">α </w:t>
      </w:r>
      <w:r w:rsidRPr="000860B8">
        <w:rPr>
          <w:rFonts w:ascii="Arial" w:hAnsi="Arial" w:cs="Arial"/>
          <w:sz w:val="22"/>
          <w:szCs w:val="22"/>
        </w:rPr>
        <w:tab/>
      </w:r>
      <w:r w:rsidRPr="000860B8">
        <w:rPr>
          <w:rFonts w:ascii="Arial" w:hAnsi="Arial" w:cs="Arial"/>
          <w:sz w:val="22"/>
          <w:szCs w:val="22"/>
        </w:rPr>
        <w:tab/>
        <w:t xml:space="preserve">= </w:t>
      </w:r>
      <w:r w:rsidR="00D40719" w:rsidRPr="000860B8">
        <w:rPr>
          <w:rFonts w:ascii="Arial" w:hAnsi="Arial" w:cs="Arial"/>
          <w:sz w:val="22"/>
          <w:szCs w:val="22"/>
        </w:rPr>
        <w:t>Constant value</w:t>
      </w:r>
    </w:p>
    <w:p w14:paraId="7C4BCDB6" w14:textId="7654CEFD"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β1 – β2</w:t>
      </w:r>
      <w:r w:rsidRPr="000860B8">
        <w:rPr>
          <w:rFonts w:ascii="Arial" w:hAnsi="Arial" w:cs="Arial"/>
          <w:sz w:val="22"/>
          <w:szCs w:val="22"/>
        </w:rPr>
        <w:tab/>
        <w:t xml:space="preserve">= </w:t>
      </w:r>
      <w:r w:rsidR="00D40719" w:rsidRPr="000860B8">
        <w:rPr>
          <w:rFonts w:ascii="Arial" w:hAnsi="Arial" w:cs="Arial"/>
          <w:sz w:val="22"/>
          <w:szCs w:val="22"/>
        </w:rPr>
        <w:t>Variable regression coefficients X1 and X2</w:t>
      </w:r>
    </w:p>
    <w:p w14:paraId="031FAF97" w14:textId="03BAE344"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lastRenderedPageBreak/>
        <w:t>β3</w:t>
      </w:r>
      <w:r w:rsidRPr="000860B8">
        <w:rPr>
          <w:rFonts w:ascii="Arial" w:hAnsi="Arial" w:cs="Arial"/>
          <w:sz w:val="22"/>
          <w:szCs w:val="22"/>
        </w:rPr>
        <w:tab/>
      </w:r>
      <w:r w:rsidRPr="000860B8">
        <w:rPr>
          <w:rFonts w:ascii="Arial" w:hAnsi="Arial" w:cs="Arial"/>
          <w:sz w:val="22"/>
          <w:szCs w:val="22"/>
        </w:rPr>
        <w:tab/>
        <w:t xml:space="preserve">= </w:t>
      </w:r>
      <w:r w:rsidR="00955721" w:rsidRPr="000860B8">
        <w:rPr>
          <w:rFonts w:ascii="Arial" w:hAnsi="Arial" w:cs="Arial"/>
          <w:sz w:val="22"/>
          <w:szCs w:val="22"/>
        </w:rPr>
        <w:t>Control variable regression coefficient</w:t>
      </w:r>
    </w:p>
    <w:p w14:paraId="719FF09F" w14:textId="5AB00F7E"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KA</w:t>
      </w:r>
      <w:r w:rsidRPr="000860B8">
        <w:rPr>
          <w:rFonts w:ascii="Arial" w:hAnsi="Arial" w:cs="Arial"/>
          <w:sz w:val="22"/>
          <w:szCs w:val="22"/>
        </w:rPr>
        <w:tab/>
      </w:r>
      <w:r w:rsidRPr="000860B8">
        <w:rPr>
          <w:rFonts w:ascii="Arial" w:hAnsi="Arial" w:cs="Arial"/>
          <w:sz w:val="22"/>
          <w:szCs w:val="22"/>
        </w:rPr>
        <w:tab/>
        <w:t xml:space="preserve">= </w:t>
      </w:r>
      <w:r w:rsidR="00955721" w:rsidRPr="000860B8">
        <w:rPr>
          <w:rFonts w:ascii="Arial" w:hAnsi="Arial" w:cs="Arial"/>
          <w:sz w:val="22"/>
          <w:szCs w:val="22"/>
        </w:rPr>
        <w:t>audit committee</w:t>
      </w:r>
    </w:p>
    <w:p w14:paraId="1FDEE985" w14:textId="3B1E3B20"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CSR</w:t>
      </w:r>
      <w:r w:rsidRPr="000860B8">
        <w:rPr>
          <w:rFonts w:ascii="Arial" w:hAnsi="Arial" w:cs="Arial"/>
          <w:sz w:val="22"/>
          <w:szCs w:val="22"/>
        </w:rPr>
        <w:tab/>
      </w:r>
      <w:r w:rsidRPr="000860B8">
        <w:rPr>
          <w:rFonts w:ascii="Arial" w:hAnsi="Arial" w:cs="Arial"/>
          <w:sz w:val="22"/>
          <w:szCs w:val="22"/>
        </w:rPr>
        <w:tab/>
        <w:t xml:space="preserve">= </w:t>
      </w:r>
      <w:r w:rsidR="00955721" w:rsidRPr="000860B8">
        <w:rPr>
          <w:rFonts w:ascii="Arial" w:hAnsi="Arial" w:cs="Arial"/>
          <w:sz w:val="22"/>
          <w:szCs w:val="22"/>
        </w:rPr>
        <w:t>Disclosure of corporate social responsibility (CSR)</w:t>
      </w:r>
    </w:p>
    <w:p w14:paraId="45B15122" w14:textId="4FDC6B29"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i/>
          <w:iCs/>
          <w:sz w:val="22"/>
          <w:szCs w:val="22"/>
        </w:rPr>
        <w:t xml:space="preserve">Size </w:t>
      </w:r>
      <w:r w:rsidRPr="000860B8">
        <w:rPr>
          <w:rFonts w:ascii="Arial" w:hAnsi="Arial" w:cs="Arial"/>
          <w:sz w:val="22"/>
          <w:szCs w:val="22"/>
        </w:rPr>
        <w:tab/>
      </w:r>
      <w:r w:rsidRPr="000860B8">
        <w:rPr>
          <w:rFonts w:ascii="Arial" w:hAnsi="Arial" w:cs="Arial"/>
          <w:sz w:val="22"/>
          <w:szCs w:val="22"/>
        </w:rPr>
        <w:tab/>
        <w:t xml:space="preserve">= </w:t>
      </w:r>
      <w:r w:rsidRPr="000860B8">
        <w:rPr>
          <w:rFonts w:ascii="Arial" w:hAnsi="Arial" w:cs="Arial"/>
          <w:i/>
          <w:iCs/>
          <w:sz w:val="22"/>
          <w:szCs w:val="22"/>
        </w:rPr>
        <w:t xml:space="preserve">Size </w:t>
      </w:r>
      <w:r w:rsidRPr="000860B8">
        <w:rPr>
          <w:rFonts w:ascii="Arial" w:hAnsi="Arial" w:cs="Arial"/>
          <w:sz w:val="22"/>
          <w:szCs w:val="22"/>
        </w:rPr>
        <w:t>(</w:t>
      </w:r>
      <w:r w:rsidR="00955721" w:rsidRPr="000860B8">
        <w:rPr>
          <w:rFonts w:ascii="Arial" w:hAnsi="Arial" w:cs="Arial"/>
          <w:sz w:val="22"/>
          <w:szCs w:val="22"/>
        </w:rPr>
        <w:t>company size</w:t>
      </w:r>
      <w:r w:rsidRPr="000860B8">
        <w:rPr>
          <w:rFonts w:ascii="Arial" w:hAnsi="Arial" w:cs="Arial"/>
          <w:sz w:val="22"/>
          <w:szCs w:val="22"/>
        </w:rPr>
        <w:t>)</w:t>
      </w:r>
    </w:p>
    <w:p w14:paraId="3E825992" w14:textId="77777777" w:rsidR="00810708" w:rsidRPr="000860B8" w:rsidRDefault="00810708" w:rsidP="000860B8">
      <w:pPr>
        <w:pStyle w:val="NormalWeb"/>
        <w:shd w:val="clear" w:color="auto" w:fill="FFFFFF"/>
        <w:spacing w:before="0" w:beforeAutospacing="0" w:after="0" w:afterAutospacing="0"/>
        <w:jc w:val="both"/>
        <w:rPr>
          <w:rFonts w:ascii="Arial" w:hAnsi="Arial" w:cs="Arial"/>
          <w:i/>
          <w:iCs/>
          <w:sz w:val="22"/>
          <w:szCs w:val="22"/>
        </w:rPr>
      </w:pPr>
      <w:r w:rsidRPr="000860B8">
        <w:rPr>
          <w:rFonts w:ascii="Arial" w:hAnsi="Arial" w:cs="Arial"/>
          <w:sz w:val="22"/>
          <w:szCs w:val="22"/>
        </w:rPr>
        <w:t>ɛ</w:t>
      </w:r>
      <w:r w:rsidRPr="000860B8">
        <w:rPr>
          <w:rFonts w:ascii="Arial" w:hAnsi="Arial" w:cs="Arial"/>
          <w:sz w:val="22"/>
          <w:szCs w:val="22"/>
        </w:rPr>
        <w:tab/>
      </w:r>
      <w:r w:rsidRPr="000860B8">
        <w:rPr>
          <w:rFonts w:ascii="Arial" w:hAnsi="Arial" w:cs="Arial"/>
          <w:sz w:val="22"/>
          <w:szCs w:val="22"/>
        </w:rPr>
        <w:tab/>
        <w:t xml:space="preserve">= </w:t>
      </w:r>
      <w:r w:rsidRPr="000860B8">
        <w:rPr>
          <w:rFonts w:ascii="Arial" w:hAnsi="Arial" w:cs="Arial"/>
          <w:i/>
          <w:iCs/>
          <w:sz w:val="22"/>
          <w:szCs w:val="22"/>
        </w:rPr>
        <w:t>error</w:t>
      </w:r>
    </w:p>
    <w:p w14:paraId="29B3162C" w14:textId="1C8F7F4D" w:rsidR="00810708" w:rsidRPr="000860B8" w:rsidRDefault="00810708"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ab/>
      </w:r>
      <w:r w:rsidR="00955721" w:rsidRPr="000860B8">
        <w:rPr>
          <w:rFonts w:ascii="Arial" w:hAnsi="Arial" w:cs="Arial"/>
          <w:sz w:val="22"/>
          <w:szCs w:val="22"/>
        </w:rPr>
        <w:t>Additional analysis to test and differentiate the relationship between the two variables in the years before the pandemic (2019) and in the pandemic years (2020 and 2021) will also be analyzed in this study</w:t>
      </w:r>
      <w:r w:rsidRPr="000860B8">
        <w:rPr>
          <w:rFonts w:ascii="Arial" w:hAnsi="Arial" w:cs="Arial"/>
          <w:sz w:val="22"/>
          <w:szCs w:val="22"/>
        </w:rPr>
        <w:t>.</w:t>
      </w:r>
    </w:p>
    <w:p w14:paraId="5666718C" w14:textId="77777777" w:rsidR="00810708" w:rsidRPr="000860B8" w:rsidRDefault="00810708" w:rsidP="000860B8">
      <w:pPr>
        <w:pStyle w:val="Heading1"/>
        <w:ind w:left="943"/>
      </w:pPr>
      <w:r w:rsidRPr="000860B8">
        <w:t>RESULTS</w:t>
      </w:r>
      <w:r w:rsidRPr="000860B8">
        <w:rPr>
          <w:spacing w:val="-2"/>
        </w:rPr>
        <w:t xml:space="preserve"> </w:t>
      </w:r>
      <w:r w:rsidRPr="000860B8">
        <w:t>AND</w:t>
      </w:r>
      <w:r w:rsidRPr="000860B8">
        <w:rPr>
          <w:spacing w:val="-3"/>
        </w:rPr>
        <w:t xml:space="preserve"> </w:t>
      </w:r>
      <w:r w:rsidRPr="000860B8">
        <w:t>DISCUSSION</w:t>
      </w:r>
    </w:p>
    <w:p w14:paraId="4C74E62F" w14:textId="77777777" w:rsidR="00955721" w:rsidRPr="000860B8" w:rsidRDefault="00955721" w:rsidP="000860B8">
      <w:pPr>
        <w:pStyle w:val="NormalWeb"/>
        <w:shd w:val="clear" w:color="auto" w:fill="FFFFFF"/>
        <w:spacing w:before="0" w:beforeAutospacing="0" w:after="0" w:afterAutospacing="0"/>
        <w:jc w:val="both"/>
        <w:rPr>
          <w:rFonts w:ascii="Arial" w:hAnsi="Arial" w:cs="Arial"/>
          <w:b/>
          <w:bCs/>
          <w:sz w:val="22"/>
          <w:szCs w:val="22"/>
        </w:rPr>
      </w:pPr>
      <w:r w:rsidRPr="000860B8">
        <w:rPr>
          <w:rFonts w:ascii="Arial" w:hAnsi="Arial" w:cs="Arial"/>
          <w:b/>
          <w:bCs/>
          <w:sz w:val="22"/>
          <w:szCs w:val="22"/>
        </w:rPr>
        <w:t>Descriptive statistics</w:t>
      </w:r>
    </w:p>
    <w:p w14:paraId="4291A407" w14:textId="4AF24CB0" w:rsidR="00810708" w:rsidRDefault="0095572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This study describes descriptive statistics with the minimum, maximum, mean, and standard deviation values ​​of all the variables used</w:t>
      </w:r>
      <w:r w:rsidR="00810708" w:rsidRPr="000860B8">
        <w:rPr>
          <w:rFonts w:ascii="Arial" w:hAnsi="Arial" w:cs="Arial"/>
          <w:sz w:val="22"/>
          <w:szCs w:val="22"/>
        </w:rPr>
        <w:t xml:space="preserve">: </w:t>
      </w:r>
    </w:p>
    <w:p w14:paraId="50AA2E3D" w14:textId="77777777" w:rsidR="000860B8" w:rsidRPr="000860B8" w:rsidRDefault="000860B8" w:rsidP="000860B8">
      <w:pPr>
        <w:pStyle w:val="NormalWeb"/>
        <w:shd w:val="clear" w:color="auto" w:fill="FFFFFF"/>
        <w:spacing w:before="0" w:beforeAutospacing="0" w:after="0" w:afterAutospacing="0"/>
        <w:ind w:firstLine="720"/>
        <w:jc w:val="both"/>
        <w:rPr>
          <w:rFonts w:ascii="Arial" w:hAnsi="Arial" w:cs="Arial"/>
          <w:b/>
          <w:bCs/>
          <w:sz w:val="22"/>
          <w:szCs w:val="22"/>
        </w:rPr>
      </w:pPr>
    </w:p>
    <w:p w14:paraId="7F21142E" w14:textId="27EDE194" w:rsidR="004D76C7" w:rsidRPr="000860B8" w:rsidRDefault="004D76C7"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Table 2. Descriptive Statistics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810"/>
        <w:gridCol w:w="1260"/>
        <w:gridCol w:w="1440"/>
        <w:gridCol w:w="1260"/>
        <w:gridCol w:w="1890"/>
      </w:tblGrid>
      <w:tr w:rsidR="00810708" w:rsidRPr="000860B8" w14:paraId="48B73043" w14:textId="77777777" w:rsidTr="00883283">
        <w:trPr>
          <w:jc w:val="center"/>
        </w:trPr>
        <w:tc>
          <w:tcPr>
            <w:tcW w:w="810" w:type="dxa"/>
            <w:vAlign w:val="center"/>
          </w:tcPr>
          <w:p w14:paraId="2546D873"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p>
        </w:tc>
        <w:tc>
          <w:tcPr>
            <w:tcW w:w="810" w:type="dxa"/>
            <w:vAlign w:val="center"/>
          </w:tcPr>
          <w:p w14:paraId="29EA7232"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N</w:t>
            </w:r>
          </w:p>
        </w:tc>
        <w:tc>
          <w:tcPr>
            <w:tcW w:w="1260" w:type="dxa"/>
            <w:vAlign w:val="center"/>
          </w:tcPr>
          <w:p w14:paraId="222BA768"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Minimum</w:t>
            </w:r>
          </w:p>
        </w:tc>
        <w:tc>
          <w:tcPr>
            <w:tcW w:w="1440" w:type="dxa"/>
            <w:vAlign w:val="center"/>
          </w:tcPr>
          <w:p w14:paraId="7FC1FFF1"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proofErr w:type="spellStart"/>
            <w:r w:rsidRPr="000860B8">
              <w:rPr>
                <w:rFonts w:ascii="Arial" w:hAnsi="Arial" w:cs="Arial"/>
                <w:b/>
                <w:bCs/>
                <w:sz w:val="20"/>
                <w:szCs w:val="20"/>
              </w:rPr>
              <w:t>Maksimum</w:t>
            </w:r>
            <w:proofErr w:type="spellEnd"/>
          </w:p>
        </w:tc>
        <w:tc>
          <w:tcPr>
            <w:tcW w:w="1260" w:type="dxa"/>
            <w:vAlign w:val="center"/>
          </w:tcPr>
          <w:p w14:paraId="5084C579"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Mean</w:t>
            </w:r>
          </w:p>
        </w:tc>
        <w:tc>
          <w:tcPr>
            <w:tcW w:w="1890" w:type="dxa"/>
            <w:vAlign w:val="center"/>
          </w:tcPr>
          <w:p w14:paraId="109895CA"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 xml:space="preserve">Std. </w:t>
            </w:r>
            <w:proofErr w:type="spellStart"/>
            <w:r w:rsidRPr="000860B8">
              <w:rPr>
                <w:rFonts w:ascii="Arial" w:hAnsi="Arial" w:cs="Arial"/>
                <w:b/>
                <w:bCs/>
                <w:sz w:val="20"/>
                <w:szCs w:val="20"/>
              </w:rPr>
              <w:t>Deviasi</w:t>
            </w:r>
            <w:proofErr w:type="spellEnd"/>
          </w:p>
        </w:tc>
      </w:tr>
      <w:tr w:rsidR="00810708" w:rsidRPr="000860B8" w14:paraId="2A8B78AA" w14:textId="77777777" w:rsidTr="00883283">
        <w:trPr>
          <w:jc w:val="center"/>
        </w:trPr>
        <w:tc>
          <w:tcPr>
            <w:tcW w:w="810" w:type="dxa"/>
          </w:tcPr>
          <w:p w14:paraId="36C357ED"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KA</w:t>
            </w:r>
          </w:p>
        </w:tc>
        <w:tc>
          <w:tcPr>
            <w:tcW w:w="810" w:type="dxa"/>
          </w:tcPr>
          <w:p w14:paraId="7F10F3EA"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384</w:t>
            </w:r>
          </w:p>
        </w:tc>
        <w:tc>
          <w:tcPr>
            <w:tcW w:w="1260" w:type="dxa"/>
          </w:tcPr>
          <w:p w14:paraId="486A4986"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1.000000</w:t>
            </w:r>
          </w:p>
        </w:tc>
        <w:tc>
          <w:tcPr>
            <w:tcW w:w="1440" w:type="dxa"/>
          </w:tcPr>
          <w:p w14:paraId="30937AB7"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45.000000</w:t>
            </w:r>
          </w:p>
        </w:tc>
        <w:tc>
          <w:tcPr>
            <w:tcW w:w="1260" w:type="dxa"/>
          </w:tcPr>
          <w:p w14:paraId="24D77A93"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6.479167</w:t>
            </w:r>
          </w:p>
        </w:tc>
        <w:tc>
          <w:tcPr>
            <w:tcW w:w="1890" w:type="dxa"/>
          </w:tcPr>
          <w:p w14:paraId="798626CD"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4.958795</w:t>
            </w:r>
          </w:p>
        </w:tc>
      </w:tr>
      <w:tr w:rsidR="00810708" w:rsidRPr="000860B8" w14:paraId="1CFE4BFB" w14:textId="77777777" w:rsidTr="00883283">
        <w:trPr>
          <w:jc w:val="center"/>
        </w:trPr>
        <w:tc>
          <w:tcPr>
            <w:tcW w:w="810" w:type="dxa"/>
          </w:tcPr>
          <w:p w14:paraId="43A0E4B4"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CSR</w:t>
            </w:r>
          </w:p>
        </w:tc>
        <w:tc>
          <w:tcPr>
            <w:tcW w:w="810" w:type="dxa"/>
          </w:tcPr>
          <w:p w14:paraId="0E72AA28"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384</w:t>
            </w:r>
          </w:p>
        </w:tc>
        <w:tc>
          <w:tcPr>
            <w:tcW w:w="1260" w:type="dxa"/>
          </w:tcPr>
          <w:p w14:paraId="5FF66F0F"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0.012987</w:t>
            </w:r>
          </w:p>
        </w:tc>
        <w:tc>
          <w:tcPr>
            <w:tcW w:w="1440" w:type="dxa"/>
          </w:tcPr>
          <w:p w14:paraId="0C0F8AF0"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0.311688</w:t>
            </w:r>
          </w:p>
        </w:tc>
        <w:tc>
          <w:tcPr>
            <w:tcW w:w="1260" w:type="dxa"/>
          </w:tcPr>
          <w:p w14:paraId="4B51CFA9"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0.137310</w:t>
            </w:r>
          </w:p>
        </w:tc>
        <w:tc>
          <w:tcPr>
            <w:tcW w:w="1890" w:type="dxa"/>
          </w:tcPr>
          <w:p w14:paraId="1C986242"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0.059849</w:t>
            </w:r>
          </w:p>
        </w:tc>
      </w:tr>
      <w:tr w:rsidR="00810708" w:rsidRPr="000860B8" w14:paraId="4C52C71B" w14:textId="77777777" w:rsidTr="00883283">
        <w:trPr>
          <w:jc w:val="center"/>
        </w:trPr>
        <w:tc>
          <w:tcPr>
            <w:tcW w:w="810" w:type="dxa"/>
          </w:tcPr>
          <w:p w14:paraId="62B59308" w14:textId="77777777" w:rsidR="00810708" w:rsidRPr="000860B8" w:rsidRDefault="00810708" w:rsidP="000860B8">
            <w:pPr>
              <w:pStyle w:val="NormalWeb"/>
              <w:spacing w:before="0" w:beforeAutospacing="0" w:after="0" w:afterAutospacing="0"/>
              <w:jc w:val="both"/>
              <w:rPr>
                <w:rFonts w:ascii="Arial" w:hAnsi="Arial" w:cs="Arial"/>
                <w:b/>
                <w:bCs/>
                <w:i/>
                <w:iCs/>
                <w:sz w:val="20"/>
                <w:szCs w:val="20"/>
              </w:rPr>
            </w:pPr>
            <w:r w:rsidRPr="000860B8">
              <w:rPr>
                <w:rFonts w:ascii="Arial" w:hAnsi="Arial" w:cs="Arial"/>
                <w:b/>
                <w:bCs/>
                <w:i/>
                <w:iCs/>
                <w:sz w:val="20"/>
                <w:szCs w:val="20"/>
              </w:rPr>
              <w:t>Size</w:t>
            </w:r>
          </w:p>
        </w:tc>
        <w:tc>
          <w:tcPr>
            <w:tcW w:w="810" w:type="dxa"/>
          </w:tcPr>
          <w:p w14:paraId="6AD6723F"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384</w:t>
            </w:r>
          </w:p>
        </w:tc>
        <w:tc>
          <w:tcPr>
            <w:tcW w:w="1260" w:type="dxa"/>
          </w:tcPr>
          <w:p w14:paraId="3FE9BAA5"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25.04885</w:t>
            </w:r>
          </w:p>
        </w:tc>
        <w:tc>
          <w:tcPr>
            <w:tcW w:w="1440" w:type="dxa"/>
          </w:tcPr>
          <w:p w14:paraId="04AA2B2E"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33.53723</w:t>
            </w:r>
          </w:p>
        </w:tc>
        <w:tc>
          <w:tcPr>
            <w:tcW w:w="1260" w:type="dxa"/>
          </w:tcPr>
          <w:p w14:paraId="0F473205"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28.27433</w:t>
            </w:r>
          </w:p>
        </w:tc>
        <w:tc>
          <w:tcPr>
            <w:tcW w:w="1890" w:type="dxa"/>
          </w:tcPr>
          <w:p w14:paraId="3956A709"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1.592623</w:t>
            </w:r>
          </w:p>
        </w:tc>
      </w:tr>
      <w:tr w:rsidR="00810708" w:rsidRPr="000860B8" w14:paraId="270D6468" w14:textId="77777777" w:rsidTr="00883283">
        <w:trPr>
          <w:jc w:val="center"/>
        </w:trPr>
        <w:tc>
          <w:tcPr>
            <w:tcW w:w="810" w:type="dxa"/>
          </w:tcPr>
          <w:p w14:paraId="1EAD318D" w14:textId="77777777" w:rsidR="00810708" w:rsidRPr="000860B8" w:rsidRDefault="00810708" w:rsidP="000860B8">
            <w:pPr>
              <w:pStyle w:val="NormalWeb"/>
              <w:spacing w:before="0" w:beforeAutospacing="0" w:after="0" w:afterAutospacing="0"/>
              <w:jc w:val="both"/>
              <w:rPr>
                <w:rFonts w:ascii="Arial" w:hAnsi="Arial" w:cs="Arial"/>
                <w:b/>
                <w:bCs/>
                <w:sz w:val="20"/>
                <w:szCs w:val="20"/>
              </w:rPr>
            </w:pPr>
            <w:r w:rsidRPr="000860B8">
              <w:rPr>
                <w:rFonts w:ascii="Arial" w:hAnsi="Arial" w:cs="Arial"/>
                <w:b/>
                <w:bCs/>
                <w:sz w:val="20"/>
                <w:szCs w:val="20"/>
              </w:rPr>
              <w:t>ML</w:t>
            </w:r>
          </w:p>
        </w:tc>
        <w:tc>
          <w:tcPr>
            <w:tcW w:w="810" w:type="dxa"/>
          </w:tcPr>
          <w:p w14:paraId="7552A06C"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384</w:t>
            </w:r>
          </w:p>
        </w:tc>
        <w:tc>
          <w:tcPr>
            <w:tcW w:w="1260" w:type="dxa"/>
          </w:tcPr>
          <w:p w14:paraId="7DE143E5"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-0.391789</w:t>
            </w:r>
          </w:p>
        </w:tc>
        <w:tc>
          <w:tcPr>
            <w:tcW w:w="1440" w:type="dxa"/>
          </w:tcPr>
          <w:p w14:paraId="45F6A15A"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0.677150</w:t>
            </w:r>
          </w:p>
        </w:tc>
        <w:tc>
          <w:tcPr>
            <w:tcW w:w="1260" w:type="dxa"/>
          </w:tcPr>
          <w:p w14:paraId="2198C899"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-0.033338</w:t>
            </w:r>
          </w:p>
        </w:tc>
        <w:tc>
          <w:tcPr>
            <w:tcW w:w="1890" w:type="dxa"/>
          </w:tcPr>
          <w:p w14:paraId="7D545352" w14:textId="77777777" w:rsidR="00810708" w:rsidRPr="000860B8" w:rsidRDefault="00810708" w:rsidP="000860B8">
            <w:pPr>
              <w:pStyle w:val="NormalWeb"/>
              <w:spacing w:before="0" w:beforeAutospacing="0" w:after="0" w:afterAutospacing="0"/>
              <w:jc w:val="both"/>
              <w:rPr>
                <w:rFonts w:ascii="Arial" w:hAnsi="Arial" w:cs="Arial"/>
                <w:sz w:val="20"/>
                <w:szCs w:val="20"/>
              </w:rPr>
            </w:pPr>
            <w:r w:rsidRPr="000860B8">
              <w:rPr>
                <w:rFonts w:ascii="Arial" w:hAnsi="Arial" w:cs="Arial"/>
                <w:sz w:val="20"/>
                <w:szCs w:val="20"/>
              </w:rPr>
              <w:t>0.107010</w:t>
            </w:r>
          </w:p>
        </w:tc>
      </w:tr>
    </w:tbl>
    <w:p w14:paraId="5A133FBA" w14:textId="77777777" w:rsidR="00955721" w:rsidRPr="000860B8" w:rsidRDefault="00955721" w:rsidP="000860B8">
      <w:pPr>
        <w:jc w:val="center"/>
        <w:rPr>
          <w:rFonts w:ascii="Arial" w:eastAsia="Times New Roman" w:hAnsi="Arial" w:cs="Arial"/>
          <w:sz w:val="20"/>
          <w:szCs w:val="20"/>
          <w:lang w:val="en-US"/>
        </w:rPr>
      </w:pPr>
      <w:r w:rsidRPr="000860B8">
        <w:rPr>
          <w:rFonts w:ascii="Arial" w:eastAsia="Times New Roman" w:hAnsi="Arial" w:cs="Arial"/>
          <w:sz w:val="20"/>
          <w:szCs w:val="20"/>
          <w:lang w:val="en-US"/>
        </w:rPr>
        <w:t xml:space="preserve">Source: Processed data, </w:t>
      </w:r>
      <w:proofErr w:type="spellStart"/>
      <w:r w:rsidRPr="000860B8">
        <w:rPr>
          <w:rFonts w:ascii="Arial" w:eastAsia="Times New Roman" w:hAnsi="Arial" w:cs="Arial"/>
          <w:sz w:val="20"/>
          <w:szCs w:val="20"/>
          <w:lang w:val="en-US"/>
        </w:rPr>
        <w:t>Eviews</w:t>
      </w:r>
      <w:proofErr w:type="spellEnd"/>
      <w:r w:rsidRPr="000860B8">
        <w:rPr>
          <w:rFonts w:ascii="Arial" w:eastAsia="Times New Roman" w:hAnsi="Arial" w:cs="Arial"/>
          <w:sz w:val="20"/>
          <w:szCs w:val="20"/>
          <w:lang w:val="en-US"/>
        </w:rPr>
        <w:t xml:space="preserve"> 12</w:t>
      </w:r>
    </w:p>
    <w:p w14:paraId="0212CD03" w14:textId="77777777" w:rsidR="000860B8" w:rsidRDefault="000860B8" w:rsidP="000860B8">
      <w:pPr>
        <w:ind w:firstLine="720"/>
        <w:jc w:val="both"/>
        <w:rPr>
          <w:rFonts w:ascii="Arial" w:eastAsia="Times New Roman" w:hAnsi="Arial" w:cs="Arial"/>
          <w:lang w:val="en-US"/>
        </w:rPr>
      </w:pPr>
    </w:p>
    <w:p w14:paraId="2F80A2EE" w14:textId="2BBCB905" w:rsidR="00955721" w:rsidRPr="000860B8" w:rsidRDefault="00955721" w:rsidP="000860B8">
      <w:pPr>
        <w:ind w:firstLine="720"/>
        <w:jc w:val="both"/>
        <w:rPr>
          <w:rFonts w:ascii="Arial" w:eastAsia="Times New Roman" w:hAnsi="Arial" w:cs="Arial"/>
          <w:lang w:val="en-US"/>
        </w:rPr>
      </w:pPr>
      <w:r w:rsidRPr="000860B8">
        <w:rPr>
          <w:rFonts w:ascii="Arial" w:eastAsia="Times New Roman" w:hAnsi="Arial" w:cs="Arial"/>
          <w:lang w:val="en-US"/>
        </w:rPr>
        <w:t xml:space="preserve">Based on the data in Table 2 regarding descriptive statistics, column N shows the number of valid data (samples) used in this study, namely 351 data. The dependent variable in this study is Profit Management (ML), which has a minimum value of -0.391789 is PT. Tirta Mahakam Resources </w:t>
      </w:r>
      <w:proofErr w:type="spellStart"/>
      <w:r w:rsidRPr="000860B8">
        <w:rPr>
          <w:rFonts w:ascii="Arial" w:eastAsia="Times New Roman" w:hAnsi="Arial" w:cs="Arial"/>
          <w:lang w:val="en-US"/>
        </w:rPr>
        <w:t>Tbk</w:t>
      </w:r>
      <w:proofErr w:type="spellEnd"/>
      <w:r w:rsidRPr="000860B8">
        <w:rPr>
          <w:rFonts w:ascii="Arial" w:eastAsia="Times New Roman" w:hAnsi="Arial" w:cs="Arial"/>
          <w:lang w:val="en-US"/>
        </w:rPr>
        <w:t xml:space="preserve">. in 2020 and which has a maximum value of 0.677150 is PT. FKS Food Sejahtera </w:t>
      </w:r>
      <w:proofErr w:type="spellStart"/>
      <w:r w:rsidRPr="000860B8">
        <w:rPr>
          <w:rFonts w:ascii="Arial" w:eastAsia="Times New Roman" w:hAnsi="Arial" w:cs="Arial"/>
          <w:lang w:val="en-US"/>
        </w:rPr>
        <w:t>Tbk</w:t>
      </w:r>
      <w:proofErr w:type="spellEnd"/>
      <w:r w:rsidRPr="000860B8">
        <w:rPr>
          <w:rFonts w:ascii="Arial" w:eastAsia="Times New Roman" w:hAnsi="Arial" w:cs="Arial"/>
          <w:lang w:val="en-US"/>
        </w:rPr>
        <w:t>. in 2020. The mean and standard deviation values ​​of this variable are -0.033338 and 0.107010. From this data it can be concluded that on average every year companies carry out earnings management by reducing profits (income decreasing).</w:t>
      </w:r>
    </w:p>
    <w:p w14:paraId="6742A863" w14:textId="74F74E90" w:rsidR="00810708" w:rsidRPr="000860B8" w:rsidRDefault="00955721" w:rsidP="000860B8">
      <w:pPr>
        <w:ind w:firstLine="720"/>
        <w:jc w:val="both"/>
        <w:rPr>
          <w:rFonts w:ascii="Arial" w:hAnsi="Arial" w:cs="Arial"/>
        </w:rPr>
      </w:pPr>
      <w:r w:rsidRPr="000860B8">
        <w:rPr>
          <w:rFonts w:ascii="Arial" w:eastAsia="Times New Roman" w:hAnsi="Arial" w:cs="Arial"/>
          <w:lang w:val="en-US"/>
        </w:rPr>
        <w:t xml:space="preserve">The first independent variable is the Audit Committee (KA), which has a minimum value of 1.000000, namely PT. </w:t>
      </w:r>
      <w:proofErr w:type="spellStart"/>
      <w:r w:rsidRPr="000860B8">
        <w:rPr>
          <w:rFonts w:ascii="Arial" w:eastAsia="Times New Roman" w:hAnsi="Arial" w:cs="Arial"/>
          <w:lang w:val="en-US"/>
        </w:rPr>
        <w:t>Singaraja</w:t>
      </w:r>
      <w:proofErr w:type="spellEnd"/>
      <w:r w:rsidRPr="000860B8">
        <w:rPr>
          <w:rFonts w:ascii="Arial" w:eastAsia="Times New Roman" w:hAnsi="Arial" w:cs="Arial"/>
          <w:lang w:val="en-US"/>
        </w:rPr>
        <w:t xml:space="preserve"> Putra </w:t>
      </w:r>
      <w:proofErr w:type="spellStart"/>
      <w:r w:rsidRPr="000860B8">
        <w:rPr>
          <w:rFonts w:ascii="Arial" w:eastAsia="Times New Roman" w:hAnsi="Arial" w:cs="Arial"/>
          <w:lang w:val="en-US"/>
        </w:rPr>
        <w:t>Tbk</w:t>
      </w:r>
      <w:proofErr w:type="spellEnd"/>
      <w:r w:rsidRPr="000860B8">
        <w:rPr>
          <w:rFonts w:ascii="Arial" w:eastAsia="Times New Roman" w:hAnsi="Arial" w:cs="Arial"/>
          <w:lang w:val="en-US"/>
        </w:rPr>
        <w:t xml:space="preserve">. in 2019, 2020 and 2021, and PT. Perfect Immortal Style </w:t>
      </w:r>
      <w:proofErr w:type="spellStart"/>
      <w:r w:rsidRPr="000860B8">
        <w:rPr>
          <w:rFonts w:ascii="Arial" w:eastAsia="Times New Roman" w:hAnsi="Arial" w:cs="Arial"/>
          <w:lang w:val="en-US"/>
        </w:rPr>
        <w:t>Tbk</w:t>
      </w:r>
      <w:proofErr w:type="spellEnd"/>
      <w:r w:rsidRPr="000860B8">
        <w:rPr>
          <w:rFonts w:ascii="Arial" w:eastAsia="Times New Roman" w:hAnsi="Arial" w:cs="Arial"/>
          <w:lang w:val="en-US"/>
        </w:rPr>
        <w:t xml:space="preserve">. in 2019 and which has a maximum value of 45.000000, namely PT. Semen Indonesia (Persero) </w:t>
      </w:r>
      <w:proofErr w:type="spellStart"/>
      <w:r w:rsidRPr="000860B8">
        <w:rPr>
          <w:rFonts w:ascii="Arial" w:eastAsia="Times New Roman" w:hAnsi="Arial" w:cs="Arial"/>
          <w:lang w:val="en-US"/>
        </w:rPr>
        <w:t>Tbk</w:t>
      </w:r>
      <w:proofErr w:type="spellEnd"/>
      <w:r w:rsidRPr="000860B8">
        <w:rPr>
          <w:rFonts w:ascii="Arial" w:eastAsia="Times New Roman" w:hAnsi="Arial" w:cs="Arial"/>
          <w:lang w:val="en-US"/>
        </w:rPr>
        <w:t>. in 2019. The KA variable has a mean value of 6.479167 and a standard deviation value of 4.958795. The second independent variable, CSR disclosure, has a minimum value of 0.012987 and a maximum value of 0.311688. The mean value and standard deviation value of the CSR disclosure variable are 0.137130 and 0.059849.</w:t>
      </w:r>
    </w:p>
    <w:p w14:paraId="0342BA48" w14:textId="77777777" w:rsidR="00810708" w:rsidRPr="000860B8" w:rsidRDefault="00810708" w:rsidP="000860B8">
      <w:pPr>
        <w:jc w:val="both"/>
        <w:rPr>
          <w:rFonts w:ascii="Arial" w:hAnsi="Arial" w:cs="Arial"/>
        </w:rPr>
      </w:pPr>
    </w:p>
    <w:p w14:paraId="25B5E91D" w14:textId="77777777" w:rsidR="00955721" w:rsidRPr="000860B8" w:rsidRDefault="00955721" w:rsidP="000860B8">
      <w:pPr>
        <w:jc w:val="both"/>
        <w:rPr>
          <w:rFonts w:ascii="Arial" w:hAnsi="Arial" w:cs="Arial"/>
          <w:b/>
          <w:bCs/>
        </w:rPr>
      </w:pPr>
      <w:r w:rsidRPr="000860B8">
        <w:rPr>
          <w:rFonts w:ascii="Arial" w:hAnsi="Arial" w:cs="Arial"/>
          <w:b/>
          <w:bCs/>
        </w:rPr>
        <w:t>Classic assumption test</w:t>
      </w:r>
    </w:p>
    <w:p w14:paraId="0789DDB3" w14:textId="77777777" w:rsidR="00955721" w:rsidRPr="000860B8" w:rsidRDefault="0095572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 xml:space="preserve">Before testing the hypothesis, the classical assumption test is carried out first to obtain a good and appropriate research regression model. The first classic assumption test is the normality test using the Jarque-Bera test which shows that the probability value is 0.00000 or sig &lt;0.05, which means that the data is not normally distributed. Because the data in this study are not normally distributed, it is necessary to test using the GLS (Generalized Least Square) model which is a method that is considered efficient for estimating the coefficients of the linear regression model which has unequal variance </w:t>
      </w:r>
      <w:r w:rsidRPr="000860B8">
        <w:rPr>
          <w:rFonts w:ascii="Arial" w:hAnsi="Arial" w:cs="Arial"/>
          <w:sz w:val="22"/>
          <w:szCs w:val="22"/>
        </w:rPr>
        <w:lastRenderedPageBreak/>
        <w:t>data and there is a certain degree of correlation between observations</w:t>
      </w:r>
      <w:r w:rsidRPr="000860B8">
        <w:rPr>
          <w:rFonts w:ascii="Arial" w:hAnsi="Arial" w:cs="Arial"/>
          <w:b/>
          <w:bCs/>
          <w:sz w:val="22"/>
          <w:szCs w:val="22"/>
        </w:rPr>
        <w:t xml:space="preserve"> </w:t>
      </w:r>
      <w:r w:rsidR="00810708" w:rsidRPr="000860B8">
        <w:rPr>
          <w:rFonts w:ascii="Arial" w:hAnsi="Arial" w:cs="Arial"/>
          <w:sz w:val="22"/>
          <w:szCs w:val="22"/>
        </w:rPr>
        <w:fldChar w:fldCharType="begin" w:fldLock="1"/>
      </w:r>
      <w:r w:rsidR="00810708" w:rsidRPr="000860B8">
        <w:rPr>
          <w:rFonts w:ascii="Arial" w:hAnsi="Arial" w:cs="Arial"/>
          <w:sz w:val="22"/>
          <w:szCs w:val="22"/>
        </w:rPr>
        <w:instrText>ADDIN CSL_CITATION {"citationItems":[{"id":"ITEM-1","itemData":{"ISSN":"21830371","abstract":"Regression procedures are often used for estimating distributional parameters because of their computational simplicity and useful graphical presentation. However, the re-sulting regression model may have heteroscedasticity and/or correction problems and thus, weighted least squares estimation or alternative estimation methods should be used. In this study, we consider generalized least squares and weighted least squares estimation methods, based on an easily calculated approximation of the covariance matrix, for distributional parameters. The considered estimation methods are then applied to the estimation of parameters of different distributions, such as Weibull, log-logistic and Pareto. The results of the Monte Carlo simulation show that the generalized least squares method for the shape parameter of the considered distri-butions provides for most cases better performance than the maximum likelihood, least-squares and some alternative estimation methods. Certain real life examples are provided to further demonstrate the performance of the considered generalized least squares estimation method.","author":[{"dropping-particle":"","family":"Mert Kantar","given":"Yeliz","non-dropping-particle":"","parse-names":false,"suffix":""}],"container-title":"Revstat Statistical Journal","id":"ITEM-1","issue":"3","issued":{"date-parts":[["2015"]]},"page":"263-282","title":"Generalized Least Squares and Weighted Least Squares Estimation Methods for Distributional Parameters","type":"article-journal","volume":"13"},"uris":["http://www.mendeley.com/documents/?uuid=45fea834-5d0f-4f48-abfe-f2774c161528"]}],"mendeley":{"formattedCitation":"(Mert Kantar, 2015)","plainTextFormattedCitation":"(Mert Kantar, 2015)","previouslyFormattedCitation":"(Mert Kantar, 2015)"},"properties":{"noteIndex":0},"schema":"https://github.com/citation-style-language/schema/raw/master/csl-citation.json"}</w:instrText>
      </w:r>
      <w:r w:rsidR="00810708" w:rsidRPr="000860B8">
        <w:rPr>
          <w:rFonts w:ascii="Arial" w:hAnsi="Arial" w:cs="Arial"/>
          <w:sz w:val="22"/>
          <w:szCs w:val="22"/>
        </w:rPr>
        <w:fldChar w:fldCharType="separate"/>
      </w:r>
      <w:r w:rsidR="00810708" w:rsidRPr="000860B8">
        <w:rPr>
          <w:rFonts w:ascii="Arial" w:hAnsi="Arial" w:cs="Arial"/>
          <w:noProof/>
          <w:sz w:val="22"/>
          <w:szCs w:val="22"/>
        </w:rPr>
        <w:t>(Mert Kantar, 2015)</w:t>
      </w:r>
      <w:r w:rsidR="00810708" w:rsidRPr="000860B8">
        <w:rPr>
          <w:rFonts w:ascii="Arial" w:hAnsi="Arial" w:cs="Arial"/>
          <w:sz w:val="22"/>
          <w:szCs w:val="22"/>
        </w:rPr>
        <w:fldChar w:fldCharType="end"/>
      </w:r>
      <w:r w:rsidR="00810708" w:rsidRPr="000860B8">
        <w:rPr>
          <w:rFonts w:ascii="Arial" w:hAnsi="Arial" w:cs="Arial"/>
          <w:sz w:val="22"/>
          <w:szCs w:val="22"/>
        </w:rPr>
        <w:t xml:space="preserve">. </w:t>
      </w:r>
      <w:r w:rsidRPr="000860B8">
        <w:rPr>
          <w:rFonts w:ascii="Arial" w:hAnsi="Arial" w:cs="Arial"/>
          <w:sz w:val="22"/>
          <w:szCs w:val="22"/>
        </w:rPr>
        <w:t>Then for the results of the multicollinearity test in this study showed a Tolerance value of &gt; 0.01, namely in the range of values ​​0.113750 – 0.285346 so that there was no problem or there was no variable multicollinearity in this study.</w:t>
      </w:r>
    </w:p>
    <w:p w14:paraId="4F0ACB16" w14:textId="77777777" w:rsidR="00955721" w:rsidRPr="000860B8" w:rsidRDefault="0095572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 xml:space="preserve">Then, the results of the heteroscedasticity test in this study using the White test showed the Prob. Chi-Square (9) based on </w:t>
      </w:r>
      <w:proofErr w:type="spellStart"/>
      <w:r w:rsidRPr="000860B8">
        <w:rPr>
          <w:rFonts w:ascii="Arial" w:hAnsi="Arial" w:cs="Arial"/>
          <w:sz w:val="22"/>
          <w:szCs w:val="22"/>
        </w:rPr>
        <w:t>Obs</w:t>
      </w:r>
      <w:proofErr w:type="spellEnd"/>
      <w:r w:rsidRPr="000860B8">
        <w:rPr>
          <w:rFonts w:ascii="Arial" w:hAnsi="Arial" w:cs="Arial"/>
          <w:sz w:val="22"/>
          <w:szCs w:val="22"/>
        </w:rPr>
        <w:t xml:space="preserve">*R-squared is 0.6432 &gt; 0.05 which means that the regression model in this study does not experience heteroscedasticity problems. Furthermore, the results of the autocorrelation test in this study using the Breusch-Godfrey test showed the Prob. Chi-Square (2) based on </w:t>
      </w:r>
      <w:proofErr w:type="spellStart"/>
      <w:r w:rsidRPr="000860B8">
        <w:rPr>
          <w:rFonts w:ascii="Arial" w:hAnsi="Arial" w:cs="Arial"/>
          <w:sz w:val="22"/>
          <w:szCs w:val="22"/>
        </w:rPr>
        <w:t>Obs</w:t>
      </w:r>
      <w:proofErr w:type="spellEnd"/>
      <w:r w:rsidRPr="000860B8">
        <w:rPr>
          <w:rFonts w:ascii="Arial" w:hAnsi="Arial" w:cs="Arial"/>
          <w:sz w:val="22"/>
          <w:szCs w:val="22"/>
        </w:rPr>
        <w:t>*R-squared is 0.2715 &gt; 0.05 so it can be concluded that there is no autocorrelation problem in this study.</w:t>
      </w:r>
    </w:p>
    <w:p w14:paraId="4A1A536A" w14:textId="77777777" w:rsidR="00955721" w:rsidRPr="000860B8" w:rsidRDefault="00955721" w:rsidP="000860B8">
      <w:pPr>
        <w:pStyle w:val="NormalWeb"/>
        <w:shd w:val="clear" w:color="auto" w:fill="FFFFFF"/>
        <w:spacing w:before="0" w:beforeAutospacing="0" w:after="0" w:afterAutospacing="0"/>
        <w:jc w:val="both"/>
        <w:rPr>
          <w:rFonts w:ascii="Arial" w:hAnsi="Arial" w:cs="Arial"/>
          <w:b/>
          <w:bCs/>
          <w:sz w:val="22"/>
          <w:szCs w:val="22"/>
        </w:rPr>
      </w:pPr>
    </w:p>
    <w:p w14:paraId="6C1DD828" w14:textId="558AD500" w:rsidR="00955721" w:rsidRPr="000860B8" w:rsidRDefault="00955721" w:rsidP="000860B8">
      <w:pPr>
        <w:pStyle w:val="NormalWeb"/>
        <w:shd w:val="clear" w:color="auto" w:fill="FFFFFF"/>
        <w:spacing w:before="0" w:beforeAutospacing="0" w:after="0" w:afterAutospacing="0"/>
        <w:jc w:val="both"/>
        <w:rPr>
          <w:rFonts w:ascii="Arial" w:hAnsi="Arial" w:cs="Arial"/>
          <w:b/>
          <w:bCs/>
          <w:sz w:val="22"/>
          <w:szCs w:val="22"/>
        </w:rPr>
      </w:pPr>
      <w:r w:rsidRPr="000860B8">
        <w:rPr>
          <w:rFonts w:ascii="Arial" w:hAnsi="Arial" w:cs="Arial"/>
          <w:b/>
          <w:bCs/>
          <w:sz w:val="22"/>
          <w:szCs w:val="22"/>
        </w:rPr>
        <w:t>Hypothesis testing</w:t>
      </w:r>
    </w:p>
    <w:p w14:paraId="30BF0310" w14:textId="4FFA6AE5" w:rsidR="00810708" w:rsidRDefault="0095572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Table 3 shows the results of multiple linear regression testing to determine whether there is a significant effect of the independent variables on the dependent variable</w:t>
      </w:r>
      <w:r w:rsidR="00810708" w:rsidRPr="000860B8">
        <w:rPr>
          <w:rFonts w:ascii="Arial" w:hAnsi="Arial" w:cs="Arial"/>
          <w:sz w:val="22"/>
          <w:szCs w:val="22"/>
        </w:rPr>
        <w:t xml:space="preserve">. </w:t>
      </w:r>
    </w:p>
    <w:p w14:paraId="5675BD30" w14:textId="77777777" w:rsidR="000860B8" w:rsidRPr="000860B8" w:rsidRDefault="000860B8" w:rsidP="000860B8">
      <w:pPr>
        <w:pStyle w:val="NormalWeb"/>
        <w:shd w:val="clear" w:color="auto" w:fill="FFFFFF"/>
        <w:spacing w:before="0" w:beforeAutospacing="0" w:after="0" w:afterAutospacing="0"/>
        <w:ind w:firstLine="720"/>
        <w:jc w:val="both"/>
        <w:rPr>
          <w:rFonts w:ascii="Arial" w:hAnsi="Arial" w:cs="Arial"/>
          <w:i/>
          <w:iCs/>
          <w:sz w:val="22"/>
          <w:szCs w:val="22"/>
        </w:rPr>
      </w:pPr>
    </w:p>
    <w:p w14:paraId="2AE54EB6" w14:textId="0F04EF7A" w:rsidR="00810708" w:rsidRPr="000860B8" w:rsidRDefault="00CC6331"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Table 3. Multiple Linear Regression 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530"/>
        <w:gridCol w:w="1530"/>
        <w:gridCol w:w="1440"/>
        <w:gridCol w:w="1170"/>
      </w:tblGrid>
      <w:tr w:rsidR="00810708" w:rsidRPr="000860B8" w14:paraId="54CB9E2E" w14:textId="77777777" w:rsidTr="00883283">
        <w:trPr>
          <w:jc w:val="center"/>
        </w:trPr>
        <w:tc>
          <w:tcPr>
            <w:tcW w:w="1165" w:type="dxa"/>
            <w:vAlign w:val="center"/>
          </w:tcPr>
          <w:p w14:paraId="3A09640D"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 xml:space="preserve">Variable </w:t>
            </w:r>
          </w:p>
        </w:tc>
        <w:tc>
          <w:tcPr>
            <w:tcW w:w="1530" w:type="dxa"/>
            <w:vAlign w:val="center"/>
          </w:tcPr>
          <w:p w14:paraId="15500896"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 xml:space="preserve">Coefficient </w:t>
            </w:r>
          </w:p>
        </w:tc>
        <w:tc>
          <w:tcPr>
            <w:tcW w:w="1530" w:type="dxa"/>
            <w:vAlign w:val="center"/>
          </w:tcPr>
          <w:p w14:paraId="3A662F5F"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Std. Error</w:t>
            </w:r>
          </w:p>
        </w:tc>
        <w:tc>
          <w:tcPr>
            <w:tcW w:w="1440" w:type="dxa"/>
            <w:vAlign w:val="center"/>
          </w:tcPr>
          <w:p w14:paraId="7D3410EC"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t-Statistic</w:t>
            </w:r>
          </w:p>
        </w:tc>
        <w:tc>
          <w:tcPr>
            <w:tcW w:w="1170" w:type="dxa"/>
            <w:vAlign w:val="center"/>
          </w:tcPr>
          <w:p w14:paraId="517A1D87"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Prob.</w:t>
            </w:r>
          </w:p>
        </w:tc>
      </w:tr>
      <w:tr w:rsidR="00810708" w:rsidRPr="000860B8" w14:paraId="6EBA13EE" w14:textId="77777777" w:rsidTr="00883283">
        <w:trPr>
          <w:jc w:val="center"/>
        </w:trPr>
        <w:tc>
          <w:tcPr>
            <w:tcW w:w="1165" w:type="dxa"/>
          </w:tcPr>
          <w:p w14:paraId="2280384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C</w:t>
            </w:r>
          </w:p>
        </w:tc>
        <w:tc>
          <w:tcPr>
            <w:tcW w:w="1530" w:type="dxa"/>
          </w:tcPr>
          <w:p w14:paraId="2BFB04E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-1.218619</w:t>
            </w:r>
          </w:p>
        </w:tc>
        <w:tc>
          <w:tcPr>
            <w:tcW w:w="1530" w:type="dxa"/>
          </w:tcPr>
          <w:p w14:paraId="57F721D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0.284140</w:t>
            </w:r>
          </w:p>
        </w:tc>
        <w:tc>
          <w:tcPr>
            <w:tcW w:w="1440" w:type="dxa"/>
          </w:tcPr>
          <w:p w14:paraId="3ED97FAF"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-4.288801</w:t>
            </w:r>
          </w:p>
        </w:tc>
        <w:tc>
          <w:tcPr>
            <w:tcW w:w="1170" w:type="dxa"/>
          </w:tcPr>
          <w:p w14:paraId="390422D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0.0000</w:t>
            </w:r>
          </w:p>
        </w:tc>
      </w:tr>
      <w:tr w:rsidR="00810708" w:rsidRPr="000860B8" w14:paraId="7F645D5F" w14:textId="77777777" w:rsidTr="00883283">
        <w:trPr>
          <w:jc w:val="center"/>
        </w:trPr>
        <w:tc>
          <w:tcPr>
            <w:tcW w:w="1165" w:type="dxa"/>
          </w:tcPr>
          <w:p w14:paraId="739B92A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KA</w:t>
            </w:r>
          </w:p>
        </w:tc>
        <w:tc>
          <w:tcPr>
            <w:tcW w:w="1530" w:type="dxa"/>
          </w:tcPr>
          <w:p w14:paraId="325556C0"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-0.001613</w:t>
            </w:r>
          </w:p>
        </w:tc>
        <w:tc>
          <w:tcPr>
            <w:tcW w:w="1530" w:type="dxa"/>
          </w:tcPr>
          <w:p w14:paraId="0EEDCE0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0.000723</w:t>
            </w:r>
          </w:p>
        </w:tc>
        <w:tc>
          <w:tcPr>
            <w:tcW w:w="1440" w:type="dxa"/>
          </w:tcPr>
          <w:p w14:paraId="5404D66D"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-2.232573</w:t>
            </w:r>
          </w:p>
        </w:tc>
        <w:tc>
          <w:tcPr>
            <w:tcW w:w="1170" w:type="dxa"/>
          </w:tcPr>
          <w:p w14:paraId="58A2FA2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0.0265</w:t>
            </w:r>
          </w:p>
        </w:tc>
      </w:tr>
      <w:tr w:rsidR="00810708" w:rsidRPr="000860B8" w14:paraId="4A29B7AC" w14:textId="77777777" w:rsidTr="00883283">
        <w:trPr>
          <w:jc w:val="center"/>
        </w:trPr>
        <w:tc>
          <w:tcPr>
            <w:tcW w:w="1165" w:type="dxa"/>
          </w:tcPr>
          <w:p w14:paraId="485EFB39"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CSR</w:t>
            </w:r>
          </w:p>
        </w:tc>
        <w:tc>
          <w:tcPr>
            <w:tcW w:w="1530" w:type="dxa"/>
          </w:tcPr>
          <w:p w14:paraId="7ED8A154"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-0.085765</w:t>
            </w:r>
          </w:p>
        </w:tc>
        <w:tc>
          <w:tcPr>
            <w:tcW w:w="1530" w:type="dxa"/>
          </w:tcPr>
          <w:p w14:paraId="57B21BB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0.027236</w:t>
            </w:r>
          </w:p>
        </w:tc>
        <w:tc>
          <w:tcPr>
            <w:tcW w:w="1440" w:type="dxa"/>
          </w:tcPr>
          <w:p w14:paraId="66DEDDD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-3.148952</w:t>
            </w:r>
          </w:p>
        </w:tc>
        <w:tc>
          <w:tcPr>
            <w:tcW w:w="1170" w:type="dxa"/>
          </w:tcPr>
          <w:p w14:paraId="0EF0E26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0.0018</w:t>
            </w:r>
          </w:p>
        </w:tc>
      </w:tr>
      <w:tr w:rsidR="00810708" w:rsidRPr="000860B8" w14:paraId="044777FD" w14:textId="77777777" w:rsidTr="00883283">
        <w:trPr>
          <w:jc w:val="center"/>
        </w:trPr>
        <w:tc>
          <w:tcPr>
            <w:tcW w:w="1165" w:type="dxa"/>
          </w:tcPr>
          <w:p w14:paraId="3D7814CE"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SIZE</w:t>
            </w:r>
          </w:p>
        </w:tc>
        <w:tc>
          <w:tcPr>
            <w:tcW w:w="1530" w:type="dxa"/>
          </w:tcPr>
          <w:p w14:paraId="42C2FC1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0.042707</w:t>
            </w:r>
          </w:p>
        </w:tc>
        <w:tc>
          <w:tcPr>
            <w:tcW w:w="1530" w:type="dxa"/>
          </w:tcPr>
          <w:p w14:paraId="4D4D4B8E"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0.010037</w:t>
            </w:r>
          </w:p>
        </w:tc>
        <w:tc>
          <w:tcPr>
            <w:tcW w:w="1440" w:type="dxa"/>
          </w:tcPr>
          <w:p w14:paraId="29585A95"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4.254907</w:t>
            </w:r>
          </w:p>
        </w:tc>
        <w:tc>
          <w:tcPr>
            <w:tcW w:w="1170" w:type="dxa"/>
          </w:tcPr>
          <w:p w14:paraId="3D97D15B"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0.0000</w:t>
            </w:r>
          </w:p>
        </w:tc>
      </w:tr>
      <w:tr w:rsidR="00810708" w:rsidRPr="000860B8" w14:paraId="676543E7" w14:textId="77777777" w:rsidTr="00883283">
        <w:trPr>
          <w:jc w:val="center"/>
        </w:trPr>
        <w:tc>
          <w:tcPr>
            <w:tcW w:w="6835" w:type="dxa"/>
            <w:gridSpan w:val="5"/>
            <w:vAlign w:val="center"/>
          </w:tcPr>
          <w:p w14:paraId="44D2D5EA"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R-squared</w:t>
            </w:r>
            <w:r w:rsidRPr="000860B8">
              <w:rPr>
                <w:rFonts w:ascii="Arial" w:hAnsi="Arial" w:cs="Arial"/>
                <w:sz w:val="20"/>
                <w:szCs w:val="20"/>
              </w:rPr>
              <w:t xml:space="preserve"> 0.838630</w:t>
            </w:r>
          </w:p>
        </w:tc>
      </w:tr>
      <w:tr w:rsidR="00810708" w:rsidRPr="000860B8" w14:paraId="781B76D7" w14:textId="77777777" w:rsidTr="00883283">
        <w:trPr>
          <w:jc w:val="center"/>
        </w:trPr>
        <w:tc>
          <w:tcPr>
            <w:tcW w:w="6835" w:type="dxa"/>
            <w:gridSpan w:val="5"/>
            <w:vAlign w:val="center"/>
          </w:tcPr>
          <w:p w14:paraId="32EAE337"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Adjusted R-squared</w:t>
            </w:r>
            <w:r w:rsidRPr="000860B8">
              <w:rPr>
                <w:rFonts w:ascii="Arial" w:hAnsi="Arial" w:cs="Arial"/>
                <w:sz w:val="20"/>
                <w:szCs w:val="20"/>
              </w:rPr>
              <w:t xml:space="preserve"> 0.755713</w:t>
            </w:r>
          </w:p>
        </w:tc>
      </w:tr>
      <w:tr w:rsidR="00810708" w:rsidRPr="000860B8" w14:paraId="4C925CE5" w14:textId="77777777" w:rsidTr="00883283">
        <w:trPr>
          <w:jc w:val="center"/>
        </w:trPr>
        <w:tc>
          <w:tcPr>
            <w:tcW w:w="6835" w:type="dxa"/>
            <w:gridSpan w:val="5"/>
            <w:vAlign w:val="center"/>
          </w:tcPr>
          <w:p w14:paraId="50AB0958"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F-statistic</w:t>
            </w:r>
            <w:r w:rsidRPr="000860B8">
              <w:rPr>
                <w:rFonts w:ascii="Arial" w:hAnsi="Arial" w:cs="Arial"/>
                <w:sz w:val="20"/>
                <w:szCs w:val="20"/>
              </w:rPr>
              <w:t xml:space="preserve"> 10.11406</w:t>
            </w:r>
          </w:p>
        </w:tc>
      </w:tr>
      <w:tr w:rsidR="00810708" w:rsidRPr="000860B8" w14:paraId="4C0A03D8" w14:textId="77777777" w:rsidTr="00883283">
        <w:trPr>
          <w:jc w:val="center"/>
        </w:trPr>
        <w:tc>
          <w:tcPr>
            <w:tcW w:w="6835" w:type="dxa"/>
            <w:gridSpan w:val="5"/>
            <w:vAlign w:val="center"/>
          </w:tcPr>
          <w:p w14:paraId="2602948F"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Prob(F-statistic)</w:t>
            </w:r>
            <w:r w:rsidRPr="000860B8">
              <w:rPr>
                <w:rFonts w:ascii="Arial" w:hAnsi="Arial" w:cs="Arial"/>
                <w:sz w:val="20"/>
                <w:szCs w:val="20"/>
              </w:rPr>
              <w:t xml:space="preserve"> 0.000000</w:t>
            </w:r>
          </w:p>
        </w:tc>
      </w:tr>
    </w:tbl>
    <w:p w14:paraId="7AEDAE8F" w14:textId="77777777" w:rsidR="00DA50AF" w:rsidRPr="000860B8" w:rsidRDefault="00DA50AF" w:rsidP="000860B8">
      <w:pPr>
        <w:pStyle w:val="NormalWeb"/>
        <w:shd w:val="clear" w:color="auto" w:fill="FFFFFF"/>
        <w:spacing w:before="0" w:beforeAutospacing="0" w:after="0" w:afterAutospacing="0"/>
        <w:jc w:val="center"/>
        <w:rPr>
          <w:rFonts w:ascii="Arial" w:hAnsi="Arial" w:cs="Arial"/>
          <w:sz w:val="20"/>
          <w:szCs w:val="20"/>
        </w:rPr>
      </w:pPr>
      <w:r w:rsidRPr="000860B8">
        <w:rPr>
          <w:rFonts w:ascii="Arial" w:hAnsi="Arial" w:cs="Arial"/>
          <w:sz w:val="20"/>
          <w:szCs w:val="20"/>
        </w:rPr>
        <w:t xml:space="preserve">Source: Processed data, </w:t>
      </w:r>
      <w:proofErr w:type="spellStart"/>
      <w:r w:rsidRPr="000860B8">
        <w:rPr>
          <w:rFonts w:ascii="Arial" w:hAnsi="Arial" w:cs="Arial"/>
          <w:sz w:val="20"/>
          <w:szCs w:val="20"/>
        </w:rPr>
        <w:t>Eviews</w:t>
      </w:r>
      <w:proofErr w:type="spellEnd"/>
      <w:r w:rsidRPr="000860B8">
        <w:rPr>
          <w:rFonts w:ascii="Arial" w:hAnsi="Arial" w:cs="Arial"/>
          <w:sz w:val="20"/>
          <w:szCs w:val="20"/>
        </w:rPr>
        <w:t xml:space="preserve"> 12</w:t>
      </w:r>
    </w:p>
    <w:p w14:paraId="3D749409" w14:textId="77777777" w:rsidR="000860B8" w:rsidRDefault="000860B8" w:rsidP="000860B8">
      <w:pPr>
        <w:pStyle w:val="NormalWeb"/>
        <w:shd w:val="clear" w:color="auto" w:fill="FFFFFF"/>
        <w:spacing w:before="0" w:beforeAutospacing="0" w:after="0" w:afterAutospacing="0"/>
        <w:ind w:firstLine="720"/>
        <w:jc w:val="both"/>
        <w:rPr>
          <w:rFonts w:ascii="Arial" w:hAnsi="Arial" w:cs="Arial"/>
          <w:sz w:val="22"/>
          <w:szCs w:val="22"/>
        </w:rPr>
      </w:pPr>
    </w:p>
    <w:p w14:paraId="0B4E964B" w14:textId="7DE7B76C" w:rsidR="00DA50AF" w:rsidRPr="000860B8" w:rsidRDefault="00DA50AF"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Based on table 3, the resulting correlation coefficient (R-squared) is 0.838630, which means that the relationship between audit committees, CSR disclosure and earnings management size is strong because the correlation coefficient is close to 1. Then for the value of the coefficient of determination (Adjusted R-squared) the result is 0.755713 or 75.57% which indicates that the variation in the dependent variable, namely earnings management, which can be explained by the independent variable is 75.57%, while the remaining 24.43% is explained by other factors not included in the model. Then the value of the simultaneous test (F-test) is 10.11406 with a probability level of 0.000 (significant). Because the probability value is much smaller than alpha 5% (0.000 &lt;0.05), this research model is feasible to use.</w:t>
      </w:r>
    </w:p>
    <w:p w14:paraId="7D7A110C" w14:textId="60E875EA" w:rsidR="00810708" w:rsidRPr="000860B8" w:rsidRDefault="00DA50AF"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Based on the results of the regression coefficient test above, the formulation of the regression equation can be arranged as follows</w:t>
      </w:r>
      <w:r w:rsidR="00810708" w:rsidRPr="000860B8">
        <w:rPr>
          <w:rFonts w:ascii="Arial" w:hAnsi="Arial" w:cs="Arial"/>
          <w:sz w:val="22"/>
          <w:szCs w:val="22"/>
        </w:rPr>
        <w:t xml:space="preserve">: </w:t>
      </w:r>
    </w:p>
    <w:p w14:paraId="45956181" w14:textId="77777777" w:rsidR="000860B8" w:rsidRDefault="000860B8" w:rsidP="000860B8">
      <w:pPr>
        <w:jc w:val="center"/>
        <w:rPr>
          <w:rFonts w:ascii="Arial" w:hAnsi="Arial" w:cs="Arial"/>
          <w:b/>
          <w:bCs/>
        </w:rPr>
      </w:pPr>
    </w:p>
    <w:p w14:paraId="4EED077F" w14:textId="3C5FE307" w:rsidR="00810708" w:rsidRPr="000860B8" w:rsidRDefault="00810708" w:rsidP="000860B8">
      <w:pPr>
        <w:jc w:val="center"/>
        <w:rPr>
          <w:rFonts w:ascii="Arial" w:hAnsi="Arial" w:cs="Arial"/>
          <w:b/>
          <w:bCs/>
          <w:i/>
          <w:iCs/>
        </w:rPr>
      </w:pPr>
      <w:r w:rsidRPr="000860B8">
        <w:rPr>
          <w:rFonts w:ascii="Arial" w:hAnsi="Arial" w:cs="Arial"/>
          <w:b/>
          <w:bCs/>
        </w:rPr>
        <w:t>ML = -1.218619 -0.001613KA -0.085765CSR +0.042707</w:t>
      </w:r>
      <w:r w:rsidRPr="000860B8">
        <w:rPr>
          <w:rFonts w:ascii="Arial" w:hAnsi="Arial" w:cs="Arial"/>
          <w:b/>
          <w:bCs/>
          <w:i/>
          <w:iCs/>
        </w:rPr>
        <w:t>Size</w:t>
      </w:r>
    </w:p>
    <w:p w14:paraId="76458300" w14:textId="77777777" w:rsidR="00810708" w:rsidRPr="000860B8" w:rsidRDefault="00810708" w:rsidP="000860B8">
      <w:pPr>
        <w:rPr>
          <w:rFonts w:ascii="Arial" w:hAnsi="Arial" w:cs="Arial"/>
          <w:b/>
          <w:bCs/>
        </w:rPr>
      </w:pPr>
    </w:p>
    <w:p w14:paraId="0BEF647F" w14:textId="77777777" w:rsidR="00DA50AF" w:rsidRPr="000860B8" w:rsidRDefault="00DA50AF" w:rsidP="000860B8">
      <w:pPr>
        <w:rPr>
          <w:rFonts w:ascii="Arial" w:hAnsi="Arial" w:cs="Arial"/>
          <w:b/>
          <w:bCs/>
          <w:lang w:val="en-US"/>
        </w:rPr>
      </w:pPr>
      <w:r w:rsidRPr="000860B8">
        <w:rPr>
          <w:rFonts w:ascii="Arial" w:hAnsi="Arial" w:cs="Arial"/>
          <w:b/>
          <w:bCs/>
          <w:lang w:val="en-US"/>
        </w:rPr>
        <w:t>Effect of Frequency of Audit Committee Meetings on Earnings Management</w:t>
      </w:r>
    </w:p>
    <w:p w14:paraId="2FF276E8" w14:textId="77777777" w:rsidR="00DA50AF" w:rsidRPr="000860B8" w:rsidRDefault="00DA50AF" w:rsidP="000860B8">
      <w:pPr>
        <w:ind w:firstLine="720"/>
        <w:jc w:val="both"/>
        <w:rPr>
          <w:rFonts w:ascii="Arial" w:hAnsi="Arial" w:cs="Arial"/>
        </w:rPr>
      </w:pPr>
      <w:r w:rsidRPr="000860B8">
        <w:rPr>
          <w:rFonts w:ascii="Arial" w:hAnsi="Arial" w:cs="Arial"/>
          <w:lang w:val="en-US"/>
        </w:rPr>
        <w:t xml:space="preserve">The first hypothesis (H1) developed in this study is that the Frequency of Audit </w:t>
      </w:r>
      <w:r w:rsidRPr="000860B8">
        <w:rPr>
          <w:rFonts w:ascii="Arial" w:hAnsi="Arial" w:cs="Arial"/>
          <w:lang w:val="en-US"/>
        </w:rPr>
        <w:lastRenderedPageBreak/>
        <w:t xml:space="preserve">Committee Meetings has a negative effect on Earnings Management. Based on the equation above, the probability value of the audit committee is significant for earnings management at the 5% alpha level (prob 0.0265 &lt; alpha 0.05) with a regression coefficient of -0.001613. A negative value on the regression coefficient means that the frequency of audit committee meetings has a negative effect on earnings management. </w:t>
      </w:r>
      <w:proofErr w:type="gramStart"/>
      <w:r w:rsidRPr="000860B8">
        <w:rPr>
          <w:rFonts w:ascii="Arial" w:hAnsi="Arial" w:cs="Arial"/>
          <w:lang w:val="en-US"/>
        </w:rPr>
        <w:t>So</w:t>
      </w:r>
      <w:proofErr w:type="gramEnd"/>
      <w:r w:rsidRPr="000860B8">
        <w:rPr>
          <w:rFonts w:ascii="Arial" w:hAnsi="Arial" w:cs="Arial"/>
          <w:lang w:val="en-US"/>
        </w:rPr>
        <w:t xml:space="preserve"> it can be concluded that H1 in this study is accepted. The audit committee has a negative relationship with earnings management. This means that the higher the frequency of audit committee meetings held in a company, the lower the earnings management in that company. This is similar to research that has been conducted by</w:t>
      </w:r>
      <w:r w:rsidRPr="000860B8">
        <w:rPr>
          <w:rFonts w:ascii="Arial" w:hAnsi="Arial" w:cs="Arial"/>
          <w:b/>
          <w:bCs/>
          <w:lang w:val="en-US"/>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{"citationItems":[{"id":"ITEM-1","itemData":{"ISSN":"2337-3806","abstract":"This study aims to test the effect of audit commitee, eksternal auditor, frequency of audit commitee meetings, frequency of board commissioners meetings and institusional ownership of earnings as dependent variable. Type of data used in this study is secondary data. The population of the study is all manufacture companies listed in Indonesia Stock Exchange. To collect the sample, the writer employed purposive sampling method and applied criteria listed in Indonesia Stock Exchange, reported annually subsequently from 2012- 2014 in Indonesia Stock Exchange. There was audit commitee, eksternal auditor, frequency of audit commitee meetings, frequency of board commissioners meetings and institusional ownership variable in financial report. The result of this study shows that audit commitee and audit commitee effectiveness significantly influenced the earnings management activities. Meanwhile, eksternal auditor, board commissioners effectiveness and institusional ownership did not influence earnings management activities in maufacture companies in Indonesia from 2012-2014.","author":[{"dropping-particle":"","family":"Marsha","given":"Felicia","non-dropping-particle":"","parse-names":false,"suffix":""},{"dropping-particle":"","family":"Ghozali","given":"Imam","non-dropping-particle":"","parse-names":false,"suffix":""}],"container-title":"Diponegoro Journal of Accounting","id":"ITEM-1","issue":"2","issued":{"date-parts":[["2017"]]},"page":"91-102","title":"Pengaruh Ukuran Komite Audit, Audit Eksternal, Jumlah Rapat Komite Audit, Jumlah Rapat Dewan Komisaris Dan Kepemilikan Institusional Terhadap Manajemen Laba (Studi Empiris Perusahaan Manufaktur yang Terdaftar di BEI tahun 2012-2014)","type":"article-journal","volume":"6"},"uris":["http://www.mendeley.com/documents/?uuid=fa81d200-ed71-4fdb-abf1-9d283d271d34"]}],"mendeley":{"formattedCitation":"(Marsha &amp; Ghozali, 2017)","manualFormatting":"Marsha &amp; Ghozali (2017)","plainTextFormattedCitation":"(Marsha &amp; Ghozali, 2017)","previouslyFormattedCitation":"(Marsha &amp; Ghozali, 2017)"},"properties":{"noteIndex":0},"schema":"https://github.com/citation-style-language/schema/raw/master/csl-citation.json"}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Marsha &amp; Ghozali (2017)</w:t>
      </w:r>
      <w:r w:rsidR="00810708" w:rsidRPr="000860B8">
        <w:rPr>
          <w:rFonts w:ascii="Arial" w:hAnsi="Arial" w:cs="Arial"/>
        </w:rPr>
        <w:fldChar w:fldCharType="end"/>
      </w:r>
      <w:r w:rsidR="00810708" w:rsidRPr="000860B8">
        <w:rPr>
          <w:rFonts w:ascii="Arial" w:hAnsi="Arial" w:cs="Arial"/>
        </w:rPr>
        <w:t xml:space="preserve"> </w:t>
      </w:r>
      <w:r w:rsidRPr="000860B8">
        <w:rPr>
          <w:rFonts w:ascii="Arial" w:hAnsi="Arial" w:cs="Arial"/>
        </w:rPr>
        <w:t xml:space="preserve">which stated that frequent meetings made the audit committee more active in carrying out their duties and responsibilities related to financial reporting, thereby increasing supervision of management oversight and preventing earnings management practices from occurring. The results of this study also support the agency theory that audit committee meetings can detect information asymmetries between agents and principals regarding financial reporting so as to improve monitoring of earnings management practices. The results of other studies that are in line with this study, namely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{"citationItems":[{"id":"ITEM-1","itemData":{"DOI":"10.30659/jai.9.1.37-51","ISSN":"0216-6747","abstract":"This study aims to determine the effect of the quality of the audit committee and the size of the public accounting firm on earnings management. The audit committee uses the proxy size of the audit committee, the number of audit committee meetings, the independent audit committee and the expertise of the audit committee. This study uses secondary data, namely companies in the category of basic industrial and chemical manufacturing sectors listed on the Indonesia Stock Exchange (IDX). The sample used 16 companies with the period 2015-2017 through a purposive sampling method. The analytical method used is multiple regression. Based on the results of the study concluded that the independent audit committee has a positive effect on earnings management, but the size of the audit committee, the number of audit committee meetings, the expertise of the audit committee, and the size of the public accounting firm have no influence on earnings management.","author":[{"dropping-particle":"","family":"Alfiyasahra","given":"Nazila","non-dropping-particle":"","parse-names":false,"suffix":""},{"dropping-particle":"","family":"Challen","given":"Auliffi Ermian","non-dropping-particle":"","parse-names":false,"suffix":""}],"container-title":"Jurnal Akuntansi Indonesia","id":"ITEM-1","issue":"1","issued":{"date-parts":[["2020"]]},"page":"37","title":"Pengaruh Kualitas Komite Audit dan Ukuran Kantor Akuntan Publik terhadap Manajemen Laba","type":"article-journal","volume":"9"},"uris":["http://www.mendeley.com/documents/?uuid=1b639dee-a6cb-4250-b411-2a321a476b5a"]}],"mendeley":{"formattedCitation":"(Alfiyasahra &amp; Challen, 2020)","manualFormatting":"Alfiyasahra &amp; Challen (2020)","plainTextFormattedCitation":"(Alfiyasahra &amp; Challen, 2020)","previouslyFormattedCitation":"(Alfiyasahra &amp; Challen, 2020)"},"properties":{"noteIndex":0},"schema":"https://github.com/citation-style-language/schema/raw/master/csl-citation.json"}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Alfiyasahra &amp; Challen (2020)</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{"citationItems":[{"id":"ITEM-1","itemData":{"DOI":"10.31093/jraba.v3i2.123","ISSN":"2548-1401","abstract":"This study aims to examine the effect of family ownership and audit committee characteristics on earnings management. The independent variables in this study are family ownership, audit committee size, accounting expertise of audit commitee, and audit committee’s number of meetings. Earnings management as a dependent variable is measured by discretionary accrual as a proxy of earnings management. This study also uses leverage and size as control variables. The sample of this study are 81 manufacturing companies listed on Indonesia Stock Exchange (IDX) with data for a period of 2 years (2015-2016). Using multiple linear regression, this study finds family ownership, audit committee size, accounting expertise of audit committee and audit committee’s number of meetings have a negaticve effect on earnings management. This study contributes to the existing literature by providing new result related to the influence of family ownership and audit committee characteristics on earnings management practice. In addition, this study offer some useful insights for policy maker in determining the most effective policy to reduce earnings management.","author":[{"dropping-particle":"","family":"Dwiyanti","given":"Kadek Trisna","non-dropping-particle":"","parse-names":false,"suffix":""},{"dropping-particle":"","family":"Astriena","given":"Meyta","non-dropping-particle":"","parse-names":false,"suffix":""}],"container-title":"Jurnal Riset Akuntansi Dan Bisnis Airlangga","id":"ITEM-1","issue":"2","issued":{"date-parts":[["2018"]]},"page":"447-469","title":"Pengaruh Kepemilikan Keluarga Dan Karakteristik Komite Audit Terhadap Manajemen Laba","type":"article-journal","volume":"3"},"uris":["http://www.mendeley.com/documents/?uuid=5692c2c6-459d-4312-9544-31218f3abb6c"]}],"mendeley":{"formattedCitation":"(Dwiyanti &amp; Astriena, 2018)","manualFormatting":"Dwiyanti &amp; Astriena (2018)","plainTextFormattedCitation":"(Dwiyanti &amp; Astriena, 2018)","previouslyFormattedCitation":"(Dwiyanti &amp; Astriena, 2018)"},"properties":{"noteIndex":0},"schema":"https://github.com/citation-style-language/schema/raw/master/csl-citation.json"}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Dwiyanti &amp; Astriena (2018)</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{"citationItems":[{"id":"ITEM-1","itemData":{"abstract":"Perkembangan system perbankan yang berbasis syariah banyak bermunculan disebabkan pemerintah yang memberi kebijkan dual-banking system dalam Kerangka Arsitektur Perbankan Indonesia (API) untuk menghadirkan alternative jasa perbankan yang semakin lengkap kepada masyarakat Indonesia. Meskipun secara teoritis perbankan syariah beroperasi dengan sistem bagi hasil, dalam praktiknya terdapat kemungkinan bank syariah melakukan kebijakan manajemen laba. Berdasarkan peraturan Otoritas Jasa Keuangan tentang pelaksanaan Good Corporate Governance yang diharapkan dapat meminimalisir tindakan manajemen untuk melakukan praktik manajemen laba.Penelitian ini bertujuan untuk menganalisis peran dewan pengawas syariah, komite audit dan dewan komisaris dalam mendeteksi praktik manajemen laba di Bank Umum Syariah.Model penelitian dianalisis menggunakan Multiple Linear Regression. Metode pengumpulan data yang digunakan adalah metode dokumentasi data sekunder,dimana data dikumpulkan dan diolah dari berbagai sumber. Hasil akhir penelitian ini berdasarkan uji yang telah dilakukan Dewan Pengawas Syariah tidak dapat meminimalisir manajemen untuk melakukan praktik manajamen laba, peranan komite audit tidak berpengaruh terhadap manajemen laba sedangkan peranan dewan komisaris mampu memprediksi praktik manajamen laba..","author":[{"dropping-particle":"","family":"Kodriyah","given":"Kodriyah","non-dropping-particle":"","parse-names":false,"suffix":""},{"dropping-particle":"","family":"Suprihatin","given":"Neneng Sri","non-dropping-particle":"","parse-names":false,"suffix":""},{"dropping-particle":"","family":"Octaviani","given":"Santi","non-dropping-particle":"","parse-names":false,"suffix":""}],"container-title":"Jurnal Akuntansi","id":"ITEM-1","issue":"2","issued":{"date-parts":[["2017"]]},"page":"59-64","title":"Peran Dewan Pengawas Syariah, Komite Audit Dan Dewan Komisaris Dalam Mendeteksi Praktik Manajemen Laba","type":"article-journal","volume":"4"},"uris":["http://www.mendeley.com/documents/?uuid=0b033bae-ac5e-4d13-be40-e081dc26a9f6"]}],"mendeley":{"formattedCitation":"(Kodriyah et al., 2017)","manualFormatting":"Kodriyah et al. (2017)","plainTextFormattedCitation":"(Kodriyah et al., 2017)","previouslyFormattedCitation":"(Kodriyah et al., 2017)"},"properties":{"noteIndex":0},"schema":"https://github.com/citation-style-language/schema/raw/master/csl-citation.json"}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Kodriyah et al. (2017)</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{"citationItems":[{"id":"ITEM-1","itemData":{"DOI":"10.5296/ijafr.v7i1.10447","abstract":"This study examines the effectiveness of some audit committee (AC) characteristics to monitor management behavior with the respect to their incentives to manage earnings. Bahraini listed companies on Bahrain Bursa for the year 2012 to 2014 have been investigated to analyze the relationship between AC characteristics and earnings management. The AC characteristics examined are AC independence, AC size, AC meetings and AC financial experts. Multivariate regression modelis used to examine the relationship between earnings managementasdependent variable and AC characteristics as independent variables and other firm-specific attributes, as control variables. As a small developing market, Bahrain’s unique business environment and context offer a good opportunity and provides a useful setting for examining the effectiveness of AC characteristics in detecting and preventing earnings management practices. The results show that discretionary accruals as a proxy for earnings management is negatively associated with AC size and AC financial experts, but positively associated audit firm size as control variable. However, the results do not show a significant relationship between AC independence, AC meetings, company size, leverage and earnings management. This study extends the literature on the monitoring function of the AC on earnings management, and contributes geographically to the financial reporting process and earnings management literatures by analyzing data from an emerging market and providing useful information for the corporations, accounting profession and the regulators on the effective practice of ACs.","author":[{"dropping-particle":"","family":"Juhmani","given":"Omar Issa","non-dropping-particle":"","parse-names":false,"suffix":""}],"container-title":"International Journal of Accounting and Financial Reporting","id":"ITEM-1","issue":"1","issued":{"date-parts":[["2017"]]},"page":"12","title":"Audit Committee Characteristics and Earnings Management: The Case of Bahrain","type":"article-journal","volume":"7"},"uris":["http://www.mendeley.com/documents/?uuid=a1dae01f-f533-4fe7-aadd-d3215ad27b8c"]}],"mendeley":{"formattedCitation":"(Juhmani, 2017)","manualFormatting":"Juhmani (2017)","plainTextFormattedCitation":"(Juhmani, 2017)","previouslyFormattedCitation":"(Juhmani, 2017)"},"properties":{"noteIndex":0},"schema":"https://github.com/citation-style-language/schema/raw/master/csl-citation.json"}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Juhmani (2017)</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approach.","author":[{"dropping-particle":"","family":"Sihombing","given":"Margareth A. R.","non-dropping-particle":"","parse-names":false,"suffix":""},{"dropping-particle":"","family":"Laksito","given":"Herry","non-dropping-particle":"","parse-names":false,"suffix":""}],"container-title":"Diponegoro Journal of Accounting","id":"ITEM-1","issue":"9","issued":{"date-parts":[["2017"]]},"page":"1689-1699","title":"Pengaruh Karakteristik Komite Audit dan Kualitas Auditor Eksternal terhadap Manajemen Laba","type":"article-journal","volume":"53"},"uris":["http://www.mendeley.com/documents/?uuid=5c0d173f-e8af-4570-a976-4023ec4b60ab"]}],"mendeley":{"formattedCitation":"(Sihombing &amp; Laksito, 2017)","manualFormatting":"Sihombing &amp; Laksito (2017)","plainTextFormattedCitation":"(Sihombing &amp; Laksito, 2017)","previouslyFormattedCitation":"(Sihombing &amp; Laksito, 2017)"},"properties":{"noteIndex":0},"schema":"https://github.com/citation-style-language/schema/raw/master/csl-citation.json"}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Sihombing &amp; Laksito (2017)</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{"citationItems":[{"id":"ITEM-1","itemData":{"ISSN":"2337-3806","abstract":"The aims of this study is to examine the effect of ownership concentration, proportion of independent board, institutional ownership, frequency of committee audit meetings, as an independent variable, dan size and leverage as a control variable and earnings management practices as a dependent variable. The population in this study are all manufacturing companies listed in Indonesia Stock Exchange in 2011-2015. The method used is purposive sampling with certain criteria. After going through the sampling and processing of data obtained final sample decent observed that 245 companies. This study uses multiple regression analysis to test hypothesis of the study. The results of this study showed that frequency meetings committee audit, and size have significant negative influence to earning management, while ownership concentration,institutional ownership,leverage, also proportion of independent board doesn not significantly affect of earnings management","author":[{"dropping-particle":"","family":"Amalia","given":"Belinda Yuna","non-dropping-particle":"","parse-names":false,"suffix":""},{"dropping-particle":"","family":"Didik","given":"Moh","non-dropping-particle":"","parse-names":false,"suffix":""}],"container-title":"Diponegoro Journal of Accounting","id":"ITEM-1","issue":"3","issued":{"date-parts":[["2017"]]},"page":"1-14","title":"Pengaruh Konsentrasi Kepemilikan, Kepemilikan Institusional, Proporsi Dewan Komisaris Independen, dan Frekuensi Rapat Komite Audit Terhadap Praktik Manajemen Laba","type":"article-journal","volume":"6"},"uris":["http://www.mendeley.com/documents/?uuid=f0c07bc3-8d49-4a30-a7b9-fc5168c23d71"]}],"mendeley":{"formattedCitation":"(Amalia &amp; Didik, 2017)","manualFormatting":"Amalia &amp; Didik (2017)","plainTextFormattedCitation":"(Amalia &amp; Didik, 2017)","previouslyFormattedCitation":"(Amalia &amp; Didik, 2017)"},"properties":{"noteIndex":0},"schema":"https://github.com/citation-style-language/schema/raw/master/csl-citation.json"}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Amalia &amp; Didik (2017)</w:t>
      </w:r>
      <w:r w:rsidR="00810708" w:rsidRPr="000860B8">
        <w:rPr>
          <w:rFonts w:ascii="Arial" w:hAnsi="Arial" w:cs="Arial"/>
        </w:rPr>
        <w:fldChar w:fldCharType="end"/>
      </w:r>
      <w:r w:rsidR="00810708" w:rsidRPr="000860B8">
        <w:rPr>
          <w:rFonts w:ascii="Arial" w:hAnsi="Arial" w:cs="Arial"/>
        </w:rPr>
        <w:t xml:space="preserve">, dan </w:t>
      </w:r>
      <w:r w:rsidR="00810708" w:rsidRPr="000860B8">
        <w:rPr>
          <w:rFonts w:ascii="Arial" w:hAnsi="Arial" w:cs="Arial"/>
        </w:rPr>
        <w:fldChar w:fldCharType="begin" w:fldLock="1"/>
      </w:r>
      <w:r w:rsidR="00810708" w:rsidRPr="000860B8">
        <w:rPr>
          <w:rFonts w:ascii="Arial" w:hAnsi="Arial" w:cs="Arial"/>
        </w:rPr>
        <w:instrText>ADDIN CSL_CITATION {"citationItems":[{"id":"ITEM-1","itemData":{"author":[{"dropping-particle":"","family":"Setiawan","given":"Teguh","non-dropping-particle":"","parse-names":false,"suffix":""}],"id":"ITEM-1","issued":{"date-parts":[["2009"]]},"title":"Analisis Pengaruh Mekanisme Good Corporate Governance Terhadap Praktek Manajemen Laba pada Perusahaan Manufaktur yang Terdaftar di Bursa Efek Indonesia periode 2005-2007","type":"article-journal"},"uris":["http://www.mendeley.com/documents/?uuid=3dcdf3d7-78ba-49c2-bdf7-6225a488cbdd"]}],"mendeley":{"formattedCitation":"(Setiawan, 2009)","manualFormatting":"Setiawan (2009)","plainTextFormattedCitation":"(Setiawan, 2009)","previouslyFormattedCitation":"(Setiawan, 2009)"},"properties":{"noteIndex":0},"schema":"https://github.com/citation-style-language/schema/raw/master/csl-citation.json"}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Setiawan (2009)</w:t>
      </w:r>
      <w:r w:rsidR="00810708" w:rsidRPr="000860B8">
        <w:rPr>
          <w:rFonts w:ascii="Arial" w:hAnsi="Arial" w:cs="Arial"/>
        </w:rPr>
        <w:fldChar w:fldCharType="end"/>
      </w:r>
      <w:r w:rsidR="00810708" w:rsidRPr="000860B8">
        <w:rPr>
          <w:rFonts w:ascii="Arial" w:hAnsi="Arial" w:cs="Arial"/>
        </w:rPr>
        <w:t xml:space="preserve">. </w:t>
      </w:r>
      <w:r w:rsidRPr="000860B8">
        <w:rPr>
          <w:rFonts w:ascii="Arial" w:hAnsi="Arial" w:cs="Arial"/>
        </w:rPr>
        <w:t>However, this research is inconsistent with research that has been conducted by</w:t>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author":[{"dropping-particle":"","family":"Rahmawati","given":"","non-dropping-particle":"","parse-names":false,"suffix":""},{"dropping-particle":"","family":"Adhani","given":"Ida","non-dropping-particle":"","parse-names":false,"suffix":""}],"container-title":"Akuntansi, Jurnal","id":"ITEM-1","issued":{"date-parts":[["2022"]]},"page":"1-12","title":"Pengaruh GCG dan CSR terhadap Manajemen Laba serta Dampaknya pada Tax Avoidance","type":"article-journal","volume":"6"},"uris":["http://www.mendeley.com/documents/?uuid=5afbd452-cfba-432d-8dc6-36145e22a66e"]}],"mendeley":{"formattedCitation":"(Rahmawati &amp; Adhani, 2022)","manualFormatting":"Rahmawati &amp; Adhani (2022)","plainTextFormattedCitation":"(Rahmawati &amp; Adhani, 2022)","previouslyFormattedCitation":"(Rahmawati &amp; Adhani, 2022)"},"properties":{"noteIndex":0},"schema":"https://github.com/citation-style-language/schema/raw/master/csl-citation.json"}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Rahmawati &amp; Adhani (2022)</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{"citationItems":[{"id":"ITEM-1","itemData":{"DOI":"10.26905/afr.v3i2.5195","ISSN":"2598-7763","abstract":"This study aims to examine and provide empirical evidence of the impact of good corporate governance and sustainability report disclosure on firm value with earning management as an intervening variable. The firm value measured by price to book value, good corporate governance measured by meeting frequency of audit committee and percentage of the independent commissioner on board, sustainability report disclosure measured by the number of items disclosed divided by the items regulated in the GRI, earning management measured by discretionary accruals. The sampling technique is purposive sampling. The number of samples used in this study is 42 companies listed on the Indonesia Stock Exchange in 2018-2019. The data are analyzed using path analysis. The results showed that the audit committee has a significant influence on earning management. Sustainability report disclosure and the independent commissioner have no significance to the earning management. Sustainability report disclosure and the independent commissioner have a significant influence on firm value. Audit committee and earning management have no significant influence on firm value. Earnings management does not mediate the relationship between audit committee, independent commissioners, and sustainability report disclosure on firm value.DOI: https://doi.org/10.26905/afr.v3i2.5195","author":[{"dropping-particle":"","family":"Jemunu","given":"Maria Dwi","non-dropping-particle":"","parse-names":false,"suffix":""},{"dropping-particle":"","family":"Apriyanto","given":"Gaguk","non-dropping-particle":"","parse-names":false,"suffix":""},{"dropping-particle":"","family":"Parawiyati","given":"Parawiyati","non-dropping-particle":"","parse-names":false,"suffix":""}],"container-title":"AFRE (Accounting and Financial Review)","id":"ITEM-1","issue":"2","issued":{"date-parts":[["2021"]]},"page":"93-102","title":"Good Corporate Governance, Pengungkapan Sustainability Report dan Manajemen Laba terhadap Nilai Perusahaan","type":"article-journal","volume":"3"},"uris":["http://www.mendeley.com/documents/?uuid=554338f8-41e2-4b37-9643-edf880439b47"]}],"mendeley":{"formattedCitation":"(Jemunu et al., 2021)","manualFormatting":"Jemunu et al. (2021)","plainTextFormattedCitation":"(Jemunu et al., 2021)","previouslyFormattedCitation":"(Jemunu et al., 2021)"},"properties":{"noteIndex":0},"schema":"https://github.com/citation-style-language/schema/raw/master/csl-citation.json"}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Jemunu et al. (2021)</w:t>
      </w:r>
      <w:r w:rsidR="00810708" w:rsidRPr="000860B8">
        <w:rPr>
          <w:rFonts w:ascii="Arial" w:hAnsi="Arial" w:cs="Arial"/>
        </w:rPr>
        <w:fldChar w:fldCharType="end"/>
      </w:r>
      <w:r w:rsidR="00810708" w:rsidRPr="000860B8">
        <w:rPr>
          <w:rFonts w:ascii="Arial" w:hAnsi="Arial" w:cs="Arial"/>
        </w:rPr>
        <w:t xml:space="preserve">, dan </w:t>
      </w:r>
      <w:r w:rsidR="00810708" w:rsidRPr="000860B8">
        <w:rPr>
          <w:rFonts w:ascii="Arial" w:hAnsi="Arial" w:cs="Arial"/>
        </w:rPr>
        <w:fldChar w:fldCharType="begin" w:fldLock="1"/>
      </w:r>
      <w:r w:rsidR="00810708" w:rsidRPr="000860B8">
        <w:rPr>
          <w:rFonts w:ascii="Arial" w:hAnsi="Arial" w:cs="Arial"/>
        </w:rPr>
        <w:instrText>ADDIN CSL_CITATION {"citationItems":[{"id":"ITEM-1","itemData":{"ISBN":"9789896540821","author":[{"dropping-particle":"","family":"Adi","given":"Yohana Epifani Kartika Adi","non-dropping-particle":"","parse-names":false,"suffix":""}],"id":"ITEM-1","issue":"1","issued":{"date-parts":[["2020"]]},"page":"1-9","title":"Corporate Governance, Ukuran Perusahaan, Leverage dan Real Earnings Management","type":"article-journal","volume":"21"},"uris":["http://www.mendeley.com/documents/?uuid=11cfc505-b79f-4ff1-a89f-0bc4d790b2b4"]}],"mendeley":{"formattedCitation":"(Adi, 2020)","manualFormatting":"Adi (2020)","plainTextFormattedCitation":"(Adi, 2020)","previouslyFormattedCitation":"(Adi, 2020)"},"properties":{"noteIndex":0},"schema":"https://github.com/citation-style-language/schema/raw/master/csl-citation.json"}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Adi (2020)</w:t>
      </w:r>
      <w:r w:rsidR="00810708" w:rsidRPr="000860B8">
        <w:rPr>
          <w:rFonts w:ascii="Arial" w:hAnsi="Arial" w:cs="Arial"/>
        </w:rPr>
        <w:fldChar w:fldCharType="end"/>
      </w:r>
      <w:r w:rsidR="00810708" w:rsidRPr="000860B8">
        <w:rPr>
          <w:rFonts w:ascii="Arial" w:hAnsi="Arial" w:cs="Arial"/>
        </w:rPr>
        <w:t xml:space="preserve"> </w:t>
      </w:r>
      <w:r w:rsidRPr="000860B8">
        <w:rPr>
          <w:rFonts w:ascii="Arial" w:hAnsi="Arial" w:cs="Arial"/>
        </w:rPr>
        <w:t>which shows that the audit committee has a positive effect on earnings management. These studies suggest that the high frequency of audit committee meetings does not guarantee the effectiveness of audit committee supervision and provides loopholes for management to take earnings management actions.</w:t>
      </w:r>
    </w:p>
    <w:p w14:paraId="054AF8CF" w14:textId="77777777" w:rsidR="000860B8" w:rsidRDefault="000860B8" w:rsidP="000860B8">
      <w:pPr>
        <w:jc w:val="both"/>
        <w:rPr>
          <w:rFonts w:ascii="Arial" w:hAnsi="Arial" w:cs="Arial"/>
          <w:b/>
          <w:bCs/>
        </w:rPr>
      </w:pPr>
    </w:p>
    <w:p w14:paraId="03C86964" w14:textId="0ECA632A" w:rsidR="00DA50AF" w:rsidRPr="000860B8" w:rsidRDefault="00DA50AF" w:rsidP="000860B8">
      <w:pPr>
        <w:jc w:val="both"/>
        <w:rPr>
          <w:rFonts w:ascii="Arial" w:hAnsi="Arial" w:cs="Arial"/>
          <w:b/>
          <w:bCs/>
        </w:rPr>
      </w:pPr>
      <w:r w:rsidRPr="000860B8">
        <w:rPr>
          <w:rFonts w:ascii="Arial" w:hAnsi="Arial" w:cs="Arial"/>
          <w:b/>
          <w:bCs/>
        </w:rPr>
        <w:t>Effect of Disclosure of Corporate Social Responsibility (CSR) on Profit Management</w:t>
      </w:r>
    </w:p>
    <w:p w14:paraId="03963346" w14:textId="77777777" w:rsidR="00CC6331" w:rsidRPr="000860B8" w:rsidRDefault="00DA50AF" w:rsidP="000860B8">
      <w:pPr>
        <w:ind w:firstLine="720"/>
        <w:jc w:val="both"/>
        <w:rPr>
          <w:rFonts w:ascii="Arial" w:hAnsi="Arial" w:cs="Arial"/>
        </w:rPr>
      </w:pPr>
      <w:r w:rsidRPr="000860B8">
        <w:rPr>
          <w:rFonts w:ascii="Arial" w:hAnsi="Arial" w:cs="Arial"/>
        </w:rPr>
        <w:t xml:space="preserve">Then the second hypothesis (H2) developed in this study is that CSR disclosure has a negative effect on earnings management. Disclosure of CSR has a regression coefficient of -0.085765 and a probability value of 0.0018 &lt;alpha 0.05. Disclosure of CSR has a negative effect on earnings management so it can be concluded that H2 in this study is accepted. This means that companies that often disclose their CSR, the smaller the chance for companies to do earnings management. This is in line with research that has been conducted by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{"citationItems":[{"id":"ITEM-1","itemData":{"DOI":"10.20473/baki.v2i1.3544","ISSN":"2459-9581","abstract":"Penelitian ini menguji pengaruh pengungkapan tanggung jawab sosial perusahaan terhadap tindakan manajemen laba, yaitu apakah perusahaan yang memiliki keperdulian yang tinggi terhadap tanggung jawab sosial dan lingkungan (perusahaan yang etis dan bereputasi baik) akan mengurangi kecenderungan managemen laba, yang justru berpotensi melemahkan kepercayaan investor terhadap kinerja manajer. Penelitian ini juga meneliti variabel pemoderasi yaitu dewan komisaris independen dan kepemilikan institusional, yang diduga dapat memperkuat pengaruh negatif antara pengungkapan CSR dan manajemen laba. Populasi dalam penelitian ini adalah perusahaan pertambangan yang terdaftar di BEI selama periode penelitian, karena sektor pertambangan merupakan sektor yang paling berpotensi merusak lingkungan. Analisis regresi digunakan untuk menguji hipotesis. Hasil penelitian menunjukkan bahwa keseluruhan hipotesis terdukung, pengungkapan CSR secara signifikan berhubungan negatif dengan  manajemen laba. Hal ini menunjukkan bahwa jika perusahaan mengungkapkan akuntabilitas sosial yang lebih luas (seperti pengungkapan CSR), maka manajemen laba akan menurun, hal ini disebabkan karena perusahaan yang memiliki pengungkapan yang lebih luas menunjukkan bahwa perusahaan tersebut adalah perusahaan yang transparan, dapat dipercaya dan berkomitmen terhadap sosial dan lingkungannya, sehingga cenderung tidak melakukan manajemen laba yang justru dapat merusak kepercayaan tersebut. Penelitian ini juga berhasil membuktikan bahwa komisaris independen dan kepemilikan institusional terbukti dapat menguatkan hubungan negatif antara CSR dan managemen laba melalui voting power dan pengawasan yang lebih intens yang mendorong pengungkapan CSR dan menurunkan kemungkinan tindakan manajemen laba. ","author":[{"dropping-particle":"","family":"Sembiring","given":"Carolyn Lukita","non-dropping-particle":"","parse-names":false,"suffix":""}],"container-title":"Berkala Akuntansi dan Keuangan Indonesia","id":"ITEM-1","issue":"1","issued":{"date-parts":[["2017"]]},"page":"20-41","title":"Manajemen Laba dan Pengungkapan Tanggung Jawab Sosial Perusahaan dengan Komisaris Independen dan Kepemilikan Institusional sebagai Variabel Pemoderasi","type":"article-journal","volume":"2"},"uris":["http://www.mendeley.com/documents/?uuid=8923895d-9d3e-43e4-a209-5d55dd2a8fb2"]}],"mendeley":{"formattedCitation":"(Sembiring, 2017)","manualFormatting":"Sembiring (2017)","plainTextFormattedCitation":"(Sembiring, 2017)","previouslyFormattedCitation":"(Sembiring, 2017)"},"properties":{"noteIndex":0},"schema":"https://github.com/citation-style-language/schema/raw/master/csl-citation.json"}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Sembiring (2017)</w:t>
      </w:r>
      <w:r w:rsidR="00810708" w:rsidRPr="000860B8">
        <w:rPr>
          <w:rFonts w:ascii="Arial" w:hAnsi="Arial" w:cs="Arial"/>
        </w:rPr>
        <w:fldChar w:fldCharType="end"/>
      </w:r>
      <w:r w:rsidR="00810708" w:rsidRPr="000860B8">
        <w:rPr>
          <w:rFonts w:ascii="Arial" w:hAnsi="Arial" w:cs="Arial"/>
        </w:rPr>
        <w:t xml:space="preserve"> </w:t>
      </w:r>
      <w:r w:rsidR="00CC6331" w:rsidRPr="000860B8">
        <w:rPr>
          <w:rFonts w:ascii="Arial" w:hAnsi="Arial" w:cs="Arial"/>
        </w:rPr>
        <w:t>which states that companies that often disclose their CSR are companies that have ethics and a high sense of concern for social responsibility so that they tend to present financial reports that are more transparent and show low earnings management, and are perceived as presenting company performance reports that can be trusted. The results of this study are also in line with the theory of legitimacy that disclosing CSR is the right step to gain legitimacy or support from the community, so that the community considers that the company's performance is good so that it does not take earnings management actions. The results of this study are also consistent with research conducted by</w:t>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{"citationItems":[{"id":"ITEM-1","itemData":{"author":[{"dropping-particle":"","family":"Rumapea","given":"Melanthon","non-dropping-particle":"","parse-names":false,"suffix":""},{"dropping-particle":"","family":"Purba","given":"Dimita H.P.","non-dropping-particle":"","parse-names":false,"suffix":""},{"dropping-particle":"","family":"Stenardy","given":"Stenardy","non-dropping-particle":"","parse-names":false,"suffix":""}],"id":"ITEM-1","issue":"2","issued":{"date-parts":[["2021"]]},"title":"Pengaruh Corporate Social Responsibility dan Tax Avoidance terhadap Manajemen Laba pada Perusahaan Aneka Industri yang Terdaftar di BEI Periode 2017-2019","type":"article-journal","volume":"4"},"uris":["http://www.mendeley.com/documents/?uuid=41f087d0-e6e7-4822-bdd4-ed5661a32e34"]}],"mendeley":{"formattedCitation":"(Rumapea et al., 2021b)","manualFormatting":"Rumapea et al. (2021)","plainTextFormattedCitation":"(Rumapea et al., 2021b)","previouslyFormattedCitation":"(Rumapea et al., 2021b)"},"properties":{"noteIndex":0},"schema":"https://github.com/citation-style-language/schema/raw/master/csl-citation.json"}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Rumapea et al. (2021)</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{"citationItems":[{"id":"ITEM-1","itemData":{"DOI":"10.36805/akuntansi.v6i2.1734","ISSN":"2528-1119","abstract":"Laba menjadi salah satu indikator penting dalam menentukan dan mengevaluasi kinerja perusahaan. Proses perusahaan dalam memperoleh laba seringkali tidak menjadi perhatian utama bagi investor atau pengguna laporan lainnya, sehingga hal ini membuka celah bagi manajemen untuk melakukan praktik manajemen laba. Akhir-akhir ini fokus utama perusahaan seharusnya tidak hanya memperoleh laba, namun juga perlu untuk melakukan tanggung jawab sosial serta melakukan pengungkapanya karena para investor akan mempertimbangkan kontribusi apa yang dilakukan perusahaan terhadap lingkungan sosial di sekitarnya. Penelitian ini bertujuan untuk menguji dan menganalisis pengaruh pengungkapan CSR terhadap manajemen laba riil dengan mekanisme corporate governance sebagai variabel pemoderasi. Objek penelitian yaitu perusahaan manufaktur yang terdaftar di Bursa Efek Indonesia pada tahun 2016-2019. Sampel yang digunakan dalam penelitian ini sebanyak 48 perusahaan manufaktur yang dipilih dengan teknik purposive sampling. Hasil penelitian menunjukkan bahwa semakin besar pengungkapan CSR maka manajemen laba riil yang diproksikan dengan arus kas operasi abnormal, biaya produksi abnormal, dan biaya diskresioner abnormal semakin kecil; besar kecilnya kepemilikan manajerial tidak dapat memperkuat pengaruh pengungkapan CSR terhadap manajemen laba riil yang diproksikan melalui arus kas operasi abnormal, biaya produksi abnormal, maupun biaya diskresioner abnormal; dan kepemilikan institusional dapat memperkuat pengaruh pengungkapan CSR terhadap manajemen laba riil yang diproksikan melalui biaya produksi abnormal, namun kepemilikan institusional tidak dapat memperkuat pengaruh pengungkapan CSR terhadap manajemen laba riil yang diproksikan dengan arus kas operasi abnormal maupun biaya diskresioner abnormal.","author":[{"dropping-particle":"","family":"Kurniawati","given":"Debby","non-dropping-particle":"","parse-names":false,"suffix":""}],"container-title":"Jurnal Buana Akuntansi","id":"ITEM-1","issue":"2","issued":{"date-parts":[["2021"]]},"page":"1-29","title":"Pengaruh Pengungkapan Corporate Social Responsibility terhadap Manajemen Laba Riil dengan Mekanisme Corporate Governance sebagai Pemoderasi","type":"article-journal","volume":"6"},"uris":["http://www.mendeley.com/documents/?uuid=40b9e98e-065f-42a5-8f95-290d5f83e473"]}],"mendeley":{"formattedCitation":"(Kurniawati, 2021)","manualFormatting":"Kurniawati (2021)","plainTextFormattedCitation":"(Kurniawati, 2021)","previouslyFormattedCitation":"(Kurniawati, 2021)"},"properties":{"noteIndex":0},"schema":"https://github.com/citation-style-language/schema/raw/master/csl-citation.json"}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Kurniawati (2021)</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{"citationItems":[{"id":"ITEM-1","itemData":{"abstract":"This study examines the ef ect of female boards of director, female boards of commisiioners, and the quality of corporate social responsibility disclosure on earnings management. This research is a type of causative research. This population in this study are companies listed on Indonesia Stock Exchange (IDX) and publish sustainability reports in 2015- 2018. The research sample was obtained using purposive sampling methodwhich resulted 76 observations. The dependent variable earnings management is measured using the discretionary accrual proxy of the Modified Jones Model (1991). The independent variable of female boards of director and female boards of commisiioners is measured using dummy variables, while the quality of corporate social responsibility disclosure is measured using the content analysis method adopted from the research of Anggraini and Djakman (2017). The results of this study explain that women boards of director, women boards of commissioners and the quality of corporate social responsibility disclosure have no significant ef ect on earnings management practices. For further research, it is better to focud in one industrial sector only, add other independent variables and increase the research time span so that it will give better results.","author":[{"dropping-particle":"","family":"Razak","given":"Bimahadi","non-dropping-particle":"","parse-names":false,"suffix":""},{"dropping-particle":"","family":"Helmy","given":"Herlina","non-dropping-particle":"","parse-names":false,"suffix":""}],"container-title":"Jurnal Eksplorasi Akuntansi (JEA)","id":"ITEM-1","issue":"No.4 Edisi: November (2020)","issued":{"date-parts":[["2020"]]},"page":"3434-3451","title":"Pengaruh Dewan Direksi Wanita, Dewan Komisaris Wanita Dan Kualitas Pengungkapan Corporate Social Responsibility Terhadap Manajemen Laba (Studi Empiris pada Perusahaan yang Terdaftar di BEI dan Menerbitkan Laporan Keberlanjutan Tahun 2015-2018)","type":"article-journal","volume":"2"},"uris":["http://www.mendeley.com/documents/?uuid=0c0ec964-7f65-41cd-9758-a4534cdeb12e"]}],"mendeley":{"formattedCitation":"(Razak &amp; Helmy, 2020)","manualFormatting":"Razak &amp; Helmy (2020)","plainTextFormattedCitation":"(Razak &amp; Helmy, 2020)","previouslyFormattedCitation":"(Razak &amp; Helmy, 2020)"},"properties":{"noteIndex":0},"schema":"https://github.com/citation-style-language/schema/raw/master/csl-citation.json"}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Razak &amp; Helmy (2020)</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{"citationItems":[{"id":"ITEM-1","itemData":{"DOI":"10.34208/jba.v22i1.628","ISSN":"1410-9875","abstract":"Tujuan penelitian ini adalah untuk menguji apakah pengungkapan CSR (Corporate Social Disclosure) berpengaruh terhadap manajemen laba yang dilakukan oleh manajemen perusahaan. Manajemen laba diukur dengan menentukan besarnya manajemen laba akrual yang dilakukan oleh perusahaan dengan menghitung nilai discretionary accrual dan untuk pengungkapan CSR menggunakan index GRI (Global Reporting Initiative). Sampel penelitian ini menggunakan perusahaan manufaktur yang terdaftar pada Bursa Efek Indonesia (BEI) selama tahun 2015-2017. Sampel dipilih menggunakan purposive sampling dan diperoleh 38 perusahaan yang memenuhi kriteria. Hipotesis diuji menggunakan regresi berganda. Hasil penelitian menunjukan bahwa pengungkapan terhadap CSR berpengaruh negatif terhadap manajemen laba.","author":[{"dropping-particle":"","family":"Alexander","given":"Nico","non-dropping-particle":"","parse-names":false,"suffix":""},{"dropping-particle":"","family":"Palupi","given":"Agustin","non-dropping-particle":"","parse-names":false,"suffix":""}],"container-title":"Jurnal Bisnis dan Akuntansi","id":"ITEM-1","issue":"1","issued":{"date-parts":[["2020"]]},"page":"105-112","title":"Pengaruh Corporate Social Responsibility Reporting Terhadap Manajemen Laba","type":"article-journal","volume":"22"},"uris":["http://www.mendeley.com/documents/?uuid=8644770e-88ec-4a74-a8c5-11468a0237c5"]}],"mendeley":{"formattedCitation":"(Alexander &amp; Palupi, 2020)","manualFormatting":"Alexander &amp; Palupi (2020)","plainTextFormattedCitation":"(Alexander &amp; Palupi, 2020)","previouslyFormattedCitation":"(Alexander &amp; Palupi, 2020)"},"properties":{"noteIndex":0},"schema":"https://github.com/citation-style-language/schema/raw/master/csl-citation.json"}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Alexander &amp; Palupi (2020)</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{"citationItems":[{"id":"ITEM-1","itemData":{"abstract":"This research was aimed to know the influence of conservatism accounting and corporate social responsibility (CSR) disclosure on earnings management. Variable of conservatism accounting was proxied by accrual. Variable of corporate social responsibility (CSR) disclosure was proxied by corporate social responsibility index (CSRI) which refers to guidelines corporate social responsibility index (CSRI) version GRI-G4 and GRI Standard. Sample used in this research was mining companies listed in IDX (Indonesian Stock Exchange) from 2015 – 2017. Sampling technique used in this research was purposive sampling. Samples collected in this research were 31 companies, a total of 93 data. Data analysis used in this research was descriptive statistics and data panel regression analysis. Software used to run data was evies 7. The results of this research showd as follow. Simultaneously, conservatism accounting and coporate social responsibility (CSR) disclosure had influence on earnings management. Partially, conservatism accounting had influence on earnings management, while corporate social responsibility (CSR) disclosure had no influence on earnings management.","author":[{"dropping-particle":"","family":"Warislan","given":"Putri","non-dropping-particle":"","parse-names":false,"suffix":""},{"dropping-particle":"","family":"Putra","given":"Wirmi Eka","non-dropping-particle":"","parse-names":false,"suffix":""},{"dropping-particle":"","family":"Tiswiyanti","given":"Wiwik","non-dropping-particle":"","parse-names":false,"suffix":""}],"container-title":"Jurnal Akuntansi dan Auditing","id":"ITEM-1","issue":"2","issued":{"date-parts":[["2018"]]},"page":"221-243","title":"Pengaruh Konservatisme Akuntansi dan Pengungkapan Corporate Social Responsibility (CSR) terhadap Manajemen Laba (Studi Empiris pada Perusahaan Pertambangan yang Terdaftar di Bursa Efek Indonesia Periode 2015-2017)","type":"article-journal","volume":"15"},"uris":["http://www.mendeley.com/documents/?uuid=889f17be-c20e-45b6-8dbf-c6bed97c599c"]}],"mendeley":{"formattedCitation":"(Warislan et al., 2018)","manualFormatting":"Warislan et al. (2018)","plainTextFormattedCitation":"(Warislan et al., 2018)","previouslyFormattedCitation":"(Warislan et al., 2018)"},"properties":{"noteIndex":0},"schema":"https://github.com/citation-style-language/schema/raw/master/csl-citation.json"}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Warislan et al. (2018)</w:t>
      </w:r>
      <w:r w:rsidR="00810708" w:rsidRPr="000860B8">
        <w:rPr>
          <w:rFonts w:ascii="Arial" w:hAnsi="Arial" w:cs="Arial"/>
        </w:rPr>
        <w:fldChar w:fldCharType="end"/>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{"citationItems":[{"id":"ITEM-1","itemData":{"DOI":"10.1108/JFRA-05-2017-0033","ISSN":"20425856","abstract":"Purpose: This paper aims to examine the impact of corporate social responsibility (CSR) on earnings management measured by discretionary accruals based on Dechow et al.’s (1995) model with cash flow from operation. Design/methodology/approach: This study uses a sample of 119 French non-financial companies listed on the CAC All Tradable index for the 2010-2014 period. All used regressions for the analysis are estimated based on panel data with random-effects. Findings: Based on a panel data of 595 French firm-year observations during the period 2010-2014, the authors find a negative impact of CSR on earnings management, and some CSR dimensions negatively impact earnings management. Practical implications: The results suggest several implications for regulatory in France, as well as those in other countries that try to implement CSR activities. Originality/value: The originality of this work lies in the division of CSR into sub-dimensions defined by the ISO 26000 standard. This division reduces the complexity of societal reality and obeys a coherent institutional logic. In addition, it enables the operationalization of CSR in a new way to determine the impact of CSR on earnings management.","author":[{"dropping-particle":"Ben","family":"Amar","given":"Anis","non-dropping-particle":"","parse-names":false,"suffix":""},{"dropping-particle":"","family":"Chakroun","given":"Salma","non-dropping-particle":"","parse-names":false,"suffix":""}],"container-title":"Journal of Financial Reporting and Accounting","id":"ITEM-1","issue":"2","issued":{"date-parts":[["2018"]]},"page":"348-370","title":"Do dimensions of corporate social responsibility affect earnings management?","type":"article-journal","volume":"16"},"uris":["http://www.mendeley.com/documents/?uuid=8cb8f427-e152-4bbf-8c75-b8593028f4b1"]}],"mendeley":{"formattedCitation":"(Amar &amp; Chakroun, 2018)","manualFormatting":"Amar &amp; Chakroun (2018)","plainTextFormattedCitation":"(Amar &amp; Chakroun, 2018)","previouslyFormattedCitation":"(Amar &amp; Chakroun, 2018)"},"properties":{"noteIndex":0},"schema":"https://github.com/citation-style-language/schema/raw/master/csl-citation.json"}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Amar &amp; Chakroun (2018)</w:t>
      </w:r>
      <w:r w:rsidR="00810708" w:rsidRPr="000860B8">
        <w:rPr>
          <w:rFonts w:ascii="Arial" w:hAnsi="Arial" w:cs="Arial"/>
        </w:rPr>
        <w:fldChar w:fldCharType="end"/>
      </w:r>
      <w:r w:rsidR="00810708" w:rsidRPr="000860B8">
        <w:rPr>
          <w:rFonts w:ascii="Arial" w:hAnsi="Arial" w:cs="Arial"/>
        </w:rPr>
        <w:t xml:space="preserve">, </w:t>
      </w:r>
      <w:r w:rsidR="00CC6331" w:rsidRPr="000860B8">
        <w:rPr>
          <w:rFonts w:ascii="Arial" w:hAnsi="Arial" w:cs="Arial"/>
        </w:rPr>
        <w:t>However, in research that has been conducted by</w:t>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{"citationItems":[{"id":"ITEM-1","itemData":{"DOI":"10.26740/akunesa.v10n2.p94-106","ISSN":"2302-1195","abstract":"This study aims to examine the effect of  CSR disclosure on profitability and earnings management. Purposive sampling is the method chosen in determining the sample in this study, so there are 66 samples of manufacturing companies which listed on the Indonesia Stock Exchange during the 2015-2017 period. Documentation and analysis are data collection techniques used in this study. The data analysis techniques used in this study is multiple liniear regression analysis using SPSS version 26.  The results of the first dependent variable study indicate that CSR disclosure affects company profitability. While the results of the second dependent variable research indicate that CSR disclosure does not affect earnings management.","author":[{"dropping-particle":"","family":"Solikhah","given":"Imroatus","non-dropping-particle":"","parse-names":false,"suffix":""}],"container-title":"Jurnal Akuntansi AKUNESA","id":"ITEM-1","issue":"2","issued":{"date-parts":[["2022"]]},"page":"94-106","title":"Pengaruh Pengungkapan Corporate Social Responsibility (CSR) Terhadap Profitabilitas dan Manajemen Laba (Studi Empiris Pada Perusahaan Manufaktur Yang Terdaftar Di Bursa Efek Indonesia (BEI) Tahun 2015-2017)","type":"article-journal","volume":"10"},"uris":["http://www.mendeley.com/documents/?uuid=47c99156-0baa-4d6f-9902-4d4b6122f53f"]}],"mendeley":{"formattedCitation":"(Solikhah, 2022)","manualFormatting":"Solikhah (2022)","plainTextFormattedCitation":"(Solikhah, 2022)","previouslyFormattedCitation":"(Solikhah, 2022)"},"properties":{"noteIndex":0},"schema":"https://github.com/citation-style-language/schema/raw/master/csl-citation.json"}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Solikhah (2022)</w:t>
      </w:r>
      <w:r w:rsidR="00810708" w:rsidRPr="000860B8">
        <w:rPr>
          <w:rFonts w:ascii="Arial" w:hAnsi="Arial" w:cs="Arial"/>
        </w:rPr>
        <w:fldChar w:fldCharType="end"/>
      </w:r>
      <w:r w:rsidR="00810708" w:rsidRPr="000860B8">
        <w:rPr>
          <w:rFonts w:ascii="Arial" w:hAnsi="Arial" w:cs="Arial"/>
        </w:rPr>
        <w:t xml:space="preserve"> </w:t>
      </w:r>
      <w:r w:rsidR="00CC6331" w:rsidRPr="000860B8">
        <w:rPr>
          <w:rFonts w:ascii="Arial" w:hAnsi="Arial" w:cs="Arial"/>
          <w:lang w:val="en-US"/>
        </w:rPr>
        <w:t>a</w:t>
      </w:r>
      <w:r w:rsidR="00810708" w:rsidRPr="000860B8">
        <w:rPr>
          <w:rFonts w:ascii="Arial" w:hAnsi="Arial" w:cs="Arial"/>
        </w:rPr>
        <w:t>n</w:t>
      </w:r>
      <w:r w:rsidR="00CC6331" w:rsidRPr="000860B8">
        <w:rPr>
          <w:rFonts w:ascii="Arial" w:hAnsi="Arial" w:cs="Arial"/>
          <w:lang w:val="en-US"/>
        </w:rPr>
        <w:t>d</w:t>
      </w:r>
      <w:r w:rsidR="00810708" w:rsidRPr="000860B8">
        <w:rPr>
          <w:rFonts w:ascii="Arial" w:hAnsi="Arial" w:cs="Arial"/>
        </w:rPr>
        <w:t xml:space="preserve">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{"citationItems":[{"id":"ITEM-1","itemData":{"DOI":"10.21067/jem.v17i1.5207","ISSN":"0216-373X","abstract":"Many ways will be done by the company in order to attract investors, one of which is by doing earning management. Previous studies have researched earning management, but it is still limited to discussing the use of corporate social responsibility (CSR) as an intervening variable. This research includes new research because using corporate social responsibility (CSR) intervening variables, the existence of intervening variables is expected to be able to test the mediating role of financial fundamental variables to strengthen this earning management. This study aims to find out the role of corporate social responsibility as a mediator of financial fundamental variables (capital adequacy ratio, firm size, and tax planning) on earning management. This research is quantitative research using data panel regression analysis techniques and path analysis using the Eviews Program. The population used in this study is all conventional banks listed on the Indonesia Stock Exchange, sampling techniques used are purposive sampling. The results found a relationship between CAR, firm size, tax planning, CSR with earning management and corporate social responsibility plays a role as mediation. The conclusion obtained in this study is corporate social responsibility is able to be mediating the relationship between CAR and earning management and corporate social responsibility is able to mediate the relationship between firm size to earning management.","author":[{"dropping-particle":"","family":"Sriyono","given":"Sriyono","non-dropping-particle":"","parse-names":false,"suffix":""},{"dropping-particle":"","family":"Anggraeni","given":"Dwi Fitria","non-dropping-particle":"","parse-names":false,"suffix":""}],"container-title":"Jurnal Ekonomi Modernisasi","id":"ITEM-1","issue":"1","issued":{"date-parts":[["2021"]]},"page":"41-53","title":"Implikasi Variabel Fundamental Keuangan terhadap Manajemen Laba: Mampukah Corporate Social Responsibility sebagai Variabel Intervening","type":"article-journal","volume":"17"},"uris":["http://www.mendeley.com/documents/?uuid=694c1b8c-fe11-4d6d-8285-73adec3b4832"]}],"mendeley":{"formattedCitation":"(Sriyono &amp; Anggraeni, 2021)","manualFormatting":"Sriyono &amp; Anggraeni (2021)","plainTextFormattedCitation":"(Sriyono &amp; Anggraeni, 2021)","previouslyFormattedCitation":"(Sriyono &amp; Anggraeni, 2021)"},"properties":{"noteIndex":0},"schema":"https://github.com/citation-style-language/schema/raw/master/csl-citation.json"}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Sriyono &amp; Anggraeni (2021)</w:t>
      </w:r>
      <w:r w:rsidR="00810708" w:rsidRPr="000860B8">
        <w:rPr>
          <w:rFonts w:ascii="Arial" w:hAnsi="Arial" w:cs="Arial"/>
        </w:rPr>
        <w:fldChar w:fldCharType="end"/>
      </w:r>
      <w:r w:rsidR="00810708" w:rsidRPr="000860B8">
        <w:rPr>
          <w:rFonts w:ascii="Arial" w:hAnsi="Arial" w:cs="Arial"/>
        </w:rPr>
        <w:t xml:space="preserve"> </w:t>
      </w:r>
      <w:r w:rsidR="00CC6331" w:rsidRPr="000860B8">
        <w:rPr>
          <w:rFonts w:ascii="Arial" w:hAnsi="Arial" w:cs="Arial"/>
        </w:rPr>
        <w:t xml:space="preserve">that CSR disclosure has a positive effect on earnings </w:t>
      </w:r>
      <w:r w:rsidR="00CC6331" w:rsidRPr="000860B8">
        <w:rPr>
          <w:rFonts w:ascii="Arial" w:hAnsi="Arial" w:cs="Arial"/>
        </w:rPr>
        <w:lastRenderedPageBreak/>
        <w:t>management, where companies actually disclose their CSR only to become an image in covering earnings management actions carried out by managers.</w:t>
      </w:r>
    </w:p>
    <w:p w14:paraId="01A63F01" w14:textId="77777777" w:rsidR="000860B8" w:rsidRDefault="000860B8" w:rsidP="000860B8">
      <w:pPr>
        <w:jc w:val="both"/>
        <w:rPr>
          <w:rFonts w:ascii="Arial" w:hAnsi="Arial" w:cs="Arial"/>
          <w:b/>
          <w:bCs/>
        </w:rPr>
      </w:pPr>
    </w:p>
    <w:p w14:paraId="3439A76C" w14:textId="2837D9AB" w:rsidR="00CC6331" w:rsidRPr="000860B8" w:rsidRDefault="00CC6331" w:rsidP="000860B8">
      <w:pPr>
        <w:jc w:val="both"/>
        <w:rPr>
          <w:rFonts w:ascii="Arial" w:hAnsi="Arial" w:cs="Arial"/>
          <w:b/>
          <w:bCs/>
        </w:rPr>
      </w:pPr>
      <w:r w:rsidRPr="000860B8">
        <w:rPr>
          <w:rFonts w:ascii="Arial" w:hAnsi="Arial" w:cs="Arial"/>
          <w:b/>
          <w:bCs/>
        </w:rPr>
        <w:t>The Effect of Size on Earnings Management</w:t>
      </w:r>
    </w:p>
    <w:p w14:paraId="0922D0F9" w14:textId="77777777" w:rsidR="00CC6331" w:rsidRPr="000860B8" w:rsidRDefault="00CC6331" w:rsidP="000860B8">
      <w:pPr>
        <w:ind w:firstLine="720"/>
        <w:jc w:val="both"/>
        <w:rPr>
          <w:rFonts w:ascii="Arial" w:hAnsi="Arial" w:cs="Arial"/>
        </w:rPr>
      </w:pPr>
      <w:r w:rsidRPr="000860B8">
        <w:rPr>
          <w:rFonts w:ascii="Arial" w:hAnsi="Arial" w:cs="Arial"/>
        </w:rPr>
        <w:t xml:space="preserve">For the control variable in this study, namely firm size (size) has a regression coefficient of 0.042707 and a probability value of 0.0000 &lt;alpha 0.05 which indicates firm size has a positive influence on earnings management. The larger the size of the company, the greater the opportunity for earnings management practices to occur in the company. The results of this study are in line with research </w:t>
      </w:r>
      <w:r w:rsidR="00810708" w:rsidRPr="000860B8">
        <w:rPr>
          <w:rFonts w:ascii="Arial" w:hAnsi="Arial" w:cs="Arial"/>
        </w:rPr>
        <w:fldChar w:fldCharType="begin" w:fldLock="1"/>
      </w:r>
      <w:r w:rsidR="00810708" w:rsidRPr="000860B8">
        <w:rPr>
          <w:rFonts w:ascii="Arial" w:hAnsi="Arial" w:cs="Arial"/>
        </w:rPr>
        <w:instrText>ADDIN CSL_CITATION {"citationItems":[{"id":"ITEM-1","itemData":{"DOI":"10.24914/jeb.v19i1.507","ISSN":"1979-6471","abstract":"&lt;p align=\"center\"&gt;&lt;em&gt;The objective of this research is to provide empirical evidence of the effect of financial distress toward earnings management and the effect of financial distress toward earnings management that moderated by corporate governance. Financial distress consists of DISTRESS1, DISTRESS2 and DISTRESS3. Earnings management was measured by discretionary accruals using Jones Model, and corporate governance consists of three variables (board of directors, independent commissioner, and audit committee). Board of directors was measured by total board of directors in the firm included chief executive officer (CEO)&lt;/em&gt;.&lt;em&gt; I&lt;/em&gt;&lt;em&gt;ndependent commissioner was measured by the proportion of independent commissioner that is total independent commissioner divided by total board of commissioner and audit committee was measured by total member of audit committee. Control variable in this research is firm size that was measured by logarithm of asset total. The population of this research is 423 non-financial companies were listed in Indonesian Stock Exchange (IDX). The research data were collected from non-financial companies annual report for the period of 2014. Based on purposive sampling method, there are 62 samples. The research hypothesis were tested by using multiple regression analysis. The results of this research in Model 1 show that firm size variable has significant relationship with earnings management, while DISTRESS1 variable, DISTRESS2 variable, and DISTRESS3 variable have no significant relationship with earnings management. The result of this research in Model 2 show that DISTRESS3 variable, independent commissioner variable, and interaction between financial distress with corporate governance variable have significant relationship with earnings management, while DISTRESS1 variable, DISTRESS2 variable, board of directors variable, audit committee variable, and firm size variable have no significant with relationship earnings management.&lt;/em&gt;&lt;/p&gt;&lt;p&gt;&lt;em&gt;&lt;br /&gt;&lt;/em&gt;&lt;/p&gt;&lt;p align=\"center\"&gt;&lt;strong&gt;Abstrak&lt;/strong&gt;&lt;/p&gt;&lt;p align=\"center\"&gt;&lt;strong&gt;&lt;em&gt; &lt;/em&gt;&lt;/strong&gt;&lt;/p&gt;&lt;p&gt;Tujuan dari penelitian ini adalah untuk memberikan bukti empiris pengaruh kesulitan keuangan terhadap manajemen laba dan pengaruh kesulitan keuangan terhadap manajemen laba yang dimoderasi oleh tata kelola perusahaan. Kesulitan keuangan terdiri dari DISTRESS1, DISTRESS2 dan DISTRESS3. Manajemen laba diukur dengan menggunakan akrual diskresioner yang mengaplikasikan Model Jon…","author":[{"dropping-particle":"","family":"Hapsoro","given":"Dody","non-dropping-particle":"","parse-names":false,"suffix":""},{"dropping-particle":"","family":"Hartomo","given":"Adrianus Billy","non-dropping-particle":"","parse-names":false,"suffix":""}],"container-title":"Jurnal Ekonomi dan Bisnis","id":"ITEM-1","issue":"1","issued":{"date-parts":[["2016"]]},"page":"91","title":"Keberadaan Corporate Governance Sebagai Variabel Moderasi Pengaruh Financial Distress Terhadap Earnings Management","type":"article-journal","volume":"19"},"uris":["http://www.mendeley.com/documents/?uuid=502b4f40-b76c-46be-aee5-65f99883114f"]}],"mendeley":{"formattedCitation":"(Hapsoro &amp; Hartomo, 2016)","manualFormatting":"Hapsoro &amp; Hartomo (2016)","plainTextFormattedCitation":"(Hapsoro &amp; Hartomo, 2016)","previouslyFormattedCitation":"(Hapsoro &amp; Hartomo, 2016)"},"properties":{"noteIndex":0},"schema":"https://github.com/citation-style-language/schema/raw/master/csl-citation.json"}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Hapsoro &amp; Hartomo (2016)</w:t>
      </w:r>
      <w:r w:rsidR="00810708" w:rsidRPr="000860B8">
        <w:rPr>
          <w:rFonts w:ascii="Arial" w:hAnsi="Arial" w:cs="Arial"/>
        </w:rPr>
        <w:fldChar w:fldCharType="end"/>
      </w:r>
      <w:r w:rsidR="00810708" w:rsidRPr="000860B8">
        <w:rPr>
          <w:rFonts w:ascii="Arial" w:hAnsi="Arial" w:cs="Arial"/>
        </w:rPr>
        <w:t xml:space="preserve"> </w:t>
      </w:r>
      <w:r w:rsidRPr="000860B8">
        <w:rPr>
          <w:rFonts w:ascii="Arial" w:hAnsi="Arial" w:cs="Arial"/>
        </w:rPr>
        <w:t xml:space="preserve">which shows that large companies will also bear large political costs, so companies have the motivation to carry out earnings management by reducing profits in order to reduce political costs. However, the results of this study are inconsistent with research conducted by </w:t>
      </w:r>
      <w:r w:rsidR="00810708" w:rsidRPr="000860B8">
        <w:rPr>
          <w:rFonts w:ascii="Arial" w:hAnsi="Arial" w:cs="Arial"/>
        </w:rPr>
        <w:fldChar w:fldCharType="begin" w:fldLock="1"/>
      </w:r>
      <w:r w:rsidR="00810708" w:rsidRPr="000860B8">
        <w:rPr>
          <w:rFonts w:ascii="Arial" w:hAnsi="Arial" w:cs="Arial"/>
        </w:rPr>
        <w:instrText>ADDIN CSL_CITATION {"citationItems":[{"id":"ITEM-1","itemData":{"author":[{"dropping-particle":"","family":"Panjaitan","given":"Desri Kristianti","non-dropping-particle":"","parse-names":false,"suffix":""},{"dropping-particle":"","family":"Muslih","given":"Muhamad","non-dropping-particle":"","parse-names":false,"suffix":""}],"container-title":"Jurnal ASET (Akuntansi Riset) (Akuntansi Riset)","id":"ITEM-1","issue":"1","issued":{"date-parts":[["2019"]]},"page":"1-20","title":"Manajemen Laba : Ukuran Perusahaan, Kepemilikan Manajerial dan Kompensasi Bonus","type":"article-journal","volume":"11 (1)"},"uris":["http://www.mendeley.com/documents/?uuid=aa0d1027-f5e0-4396-90c2-f6d3e67e03e1"]}],"mendeley":{"formattedCitation":"(Panjaitan &amp; Muslih, 2019)","manualFormatting":"Panjaitan &amp; Muslih (2019)","plainTextFormattedCitation":"(Panjaitan &amp; Muslih, 2019)","previouslyFormattedCitation":"(Panjaitan &amp; Muslih, 2019)"},"properties":{"noteIndex":0},"schema":"https://github.com/citation-style-language/schema/raw/master/csl-citation.json"}</w:instrText>
      </w:r>
      <w:r w:rsidR="00810708" w:rsidRPr="000860B8">
        <w:rPr>
          <w:rFonts w:ascii="Arial" w:hAnsi="Arial" w:cs="Arial"/>
        </w:rPr>
        <w:fldChar w:fldCharType="separate"/>
      </w:r>
      <w:r w:rsidR="00810708" w:rsidRPr="000860B8">
        <w:rPr>
          <w:rFonts w:ascii="Arial" w:hAnsi="Arial" w:cs="Arial"/>
          <w:noProof/>
        </w:rPr>
        <w:t>Panjaitan &amp; Muslih (2019)</w:t>
      </w:r>
      <w:r w:rsidR="00810708" w:rsidRPr="000860B8">
        <w:rPr>
          <w:rFonts w:ascii="Arial" w:hAnsi="Arial" w:cs="Arial"/>
        </w:rPr>
        <w:fldChar w:fldCharType="end"/>
      </w:r>
      <w:r w:rsidR="00810708" w:rsidRPr="000860B8">
        <w:rPr>
          <w:rFonts w:ascii="Arial" w:hAnsi="Arial" w:cs="Arial"/>
        </w:rPr>
        <w:t xml:space="preserve"> </w:t>
      </w:r>
      <w:r w:rsidRPr="000860B8">
        <w:rPr>
          <w:rFonts w:ascii="Arial" w:hAnsi="Arial" w:cs="Arial"/>
        </w:rPr>
        <w:t>who said that companies that have growth in a positive or increasing direction will have more attractiveness from investors so as to encourage companies to maintain and improve the performance of their financial statements. This means that there is no tendency to carry out earnings management because the company focuses more on responsibilities related to presenting financial reports to external parties of the company.</w:t>
      </w:r>
    </w:p>
    <w:p w14:paraId="60A80F4F" w14:textId="77777777" w:rsidR="000860B8" w:rsidRDefault="000860B8" w:rsidP="000860B8">
      <w:pPr>
        <w:jc w:val="both"/>
        <w:rPr>
          <w:rFonts w:ascii="Arial" w:hAnsi="Arial" w:cs="Arial"/>
          <w:b/>
          <w:bCs/>
        </w:rPr>
      </w:pPr>
    </w:p>
    <w:p w14:paraId="17B78566" w14:textId="61CBC095" w:rsidR="00CC6331" w:rsidRPr="000860B8" w:rsidRDefault="00CC6331" w:rsidP="000860B8">
      <w:pPr>
        <w:jc w:val="both"/>
        <w:rPr>
          <w:rFonts w:ascii="Arial" w:hAnsi="Arial" w:cs="Arial"/>
          <w:b/>
          <w:bCs/>
        </w:rPr>
      </w:pPr>
      <w:r w:rsidRPr="000860B8">
        <w:rPr>
          <w:rFonts w:ascii="Arial" w:hAnsi="Arial" w:cs="Arial"/>
          <w:b/>
          <w:bCs/>
        </w:rPr>
        <w:t>Additional Testing</w:t>
      </w:r>
    </w:p>
    <w:p w14:paraId="07412637" w14:textId="76856295" w:rsidR="00810708" w:rsidRDefault="00CC6331" w:rsidP="000860B8">
      <w:pPr>
        <w:ind w:firstLine="720"/>
        <w:jc w:val="both"/>
        <w:rPr>
          <w:rFonts w:ascii="Arial" w:hAnsi="Arial" w:cs="Arial"/>
        </w:rPr>
      </w:pPr>
      <w:r w:rsidRPr="000860B8">
        <w:rPr>
          <w:rFonts w:ascii="Arial" w:hAnsi="Arial" w:cs="Arial"/>
        </w:rPr>
        <w:t>Table 4 shows additional tests to test the relationship between the independent variables and the dependent variable in the year before the pandemic, namely 2019 and during the pandemic, namely 2020 and 2021 in this study</w:t>
      </w:r>
      <w:r w:rsidR="00810708" w:rsidRPr="000860B8">
        <w:rPr>
          <w:rFonts w:ascii="Arial" w:hAnsi="Arial" w:cs="Arial"/>
        </w:rPr>
        <w:t>.</w:t>
      </w:r>
    </w:p>
    <w:p w14:paraId="4A845A27" w14:textId="77777777" w:rsidR="000860B8" w:rsidRPr="000860B8" w:rsidRDefault="000860B8" w:rsidP="000860B8">
      <w:pPr>
        <w:ind w:firstLine="720"/>
        <w:jc w:val="both"/>
        <w:rPr>
          <w:rFonts w:ascii="Arial" w:hAnsi="Arial" w:cs="Arial"/>
        </w:rPr>
      </w:pPr>
    </w:p>
    <w:p w14:paraId="6963CE84" w14:textId="15F95CA4" w:rsidR="00810708" w:rsidRPr="000860B8" w:rsidRDefault="00810708"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T</w:t>
      </w:r>
      <w:r w:rsidR="00CC6331" w:rsidRPr="000860B8">
        <w:rPr>
          <w:rFonts w:ascii="Arial" w:hAnsi="Arial" w:cs="Arial"/>
          <w:b/>
          <w:bCs/>
          <w:sz w:val="22"/>
          <w:szCs w:val="22"/>
        </w:rPr>
        <w:t>able 4. Additional Tests for Pandemic &amp; Non-Pandemic Years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377"/>
        <w:gridCol w:w="1377"/>
        <w:gridCol w:w="1377"/>
        <w:gridCol w:w="1377"/>
        <w:gridCol w:w="1377"/>
      </w:tblGrid>
      <w:tr w:rsidR="00810708" w:rsidRPr="000860B8" w14:paraId="314F12C0" w14:textId="77777777" w:rsidTr="00883283">
        <w:trPr>
          <w:jc w:val="center"/>
        </w:trPr>
        <w:tc>
          <w:tcPr>
            <w:tcW w:w="1376" w:type="dxa"/>
            <w:vAlign w:val="center"/>
          </w:tcPr>
          <w:p w14:paraId="34F6832F"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Variable</w:t>
            </w:r>
          </w:p>
        </w:tc>
        <w:tc>
          <w:tcPr>
            <w:tcW w:w="1377" w:type="dxa"/>
            <w:vAlign w:val="center"/>
          </w:tcPr>
          <w:p w14:paraId="701364C2"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Coefficient</w:t>
            </w:r>
          </w:p>
        </w:tc>
        <w:tc>
          <w:tcPr>
            <w:tcW w:w="1377" w:type="dxa"/>
            <w:vAlign w:val="center"/>
          </w:tcPr>
          <w:p w14:paraId="330D59A4"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Std. Error</w:t>
            </w:r>
          </w:p>
        </w:tc>
        <w:tc>
          <w:tcPr>
            <w:tcW w:w="1377" w:type="dxa"/>
            <w:vAlign w:val="center"/>
          </w:tcPr>
          <w:p w14:paraId="2234C976"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t-Statistic</w:t>
            </w:r>
          </w:p>
        </w:tc>
        <w:tc>
          <w:tcPr>
            <w:tcW w:w="1377" w:type="dxa"/>
            <w:vAlign w:val="center"/>
          </w:tcPr>
          <w:p w14:paraId="5E218863"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Prob.</w:t>
            </w:r>
          </w:p>
        </w:tc>
        <w:tc>
          <w:tcPr>
            <w:tcW w:w="1377" w:type="dxa"/>
            <w:vAlign w:val="center"/>
          </w:tcPr>
          <w:p w14:paraId="477A139C" w14:textId="77777777" w:rsidR="00810708" w:rsidRPr="000860B8" w:rsidRDefault="00810708" w:rsidP="000860B8">
            <w:pPr>
              <w:pStyle w:val="NormalWeb"/>
              <w:spacing w:before="0" w:beforeAutospacing="0" w:after="0" w:afterAutospacing="0"/>
              <w:jc w:val="center"/>
              <w:rPr>
                <w:rFonts w:ascii="Arial" w:hAnsi="Arial" w:cs="Arial"/>
                <w:b/>
                <w:bCs/>
                <w:sz w:val="20"/>
                <w:szCs w:val="20"/>
              </w:rPr>
            </w:pPr>
            <w:r w:rsidRPr="000860B8">
              <w:rPr>
                <w:rFonts w:ascii="Arial" w:hAnsi="Arial" w:cs="Arial"/>
                <w:b/>
                <w:bCs/>
                <w:sz w:val="20"/>
                <w:szCs w:val="20"/>
              </w:rPr>
              <w:t xml:space="preserve">Mean </w:t>
            </w:r>
          </w:p>
        </w:tc>
      </w:tr>
      <w:tr w:rsidR="00810708" w:rsidRPr="000860B8" w14:paraId="4A35484D" w14:textId="77777777" w:rsidTr="00883283">
        <w:trPr>
          <w:jc w:val="center"/>
        </w:trPr>
        <w:tc>
          <w:tcPr>
            <w:tcW w:w="1376" w:type="dxa"/>
            <w:vAlign w:val="center"/>
          </w:tcPr>
          <w:p w14:paraId="418F29BD"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C</w:t>
            </w:r>
          </w:p>
        </w:tc>
        <w:tc>
          <w:tcPr>
            <w:tcW w:w="1377" w:type="dxa"/>
            <w:vAlign w:val="center"/>
          </w:tcPr>
          <w:p w14:paraId="2C411745"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0.103070</w:t>
            </w:r>
          </w:p>
        </w:tc>
        <w:tc>
          <w:tcPr>
            <w:tcW w:w="1377" w:type="dxa"/>
            <w:vAlign w:val="center"/>
          </w:tcPr>
          <w:p w14:paraId="58268336"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0.100274</w:t>
            </w:r>
          </w:p>
        </w:tc>
        <w:tc>
          <w:tcPr>
            <w:tcW w:w="1377" w:type="dxa"/>
            <w:vAlign w:val="center"/>
          </w:tcPr>
          <w:p w14:paraId="5884A3F4"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1.027884</w:t>
            </w:r>
          </w:p>
        </w:tc>
        <w:tc>
          <w:tcPr>
            <w:tcW w:w="1377" w:type="dxa"/>
            <w:vAlign w:val="center"/>
          </w:tcPr>
          <w:p w14:paraId="7392B2B6"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0.3047</w:t>
            </w:r>
          </w:p>
        </w:tc>
        <w:tc>
          <w:tcPr>
            <w:tcW w:w="1377" w:type="dxa"/>
            <w:vAlign w:val="center"/>
          </w:tcPr>
          <w:p w14:paraId="5DDEDF9C" w14:textId="77777777" w:rsidR="00810708" w:rsidRPr="000860B8" w:rsidRDefault="00810708" w:rsidP="000860B8">
            <w:pPr>
              <w:pStyle w:val="NormalWeb"/>
              <w:spacing w:before="0" w:beforeAutospacing="0" w:after="0" w:afterAutospacing="0"/>
              <w:jc w:val="center"/>
              <w:rPr>
                <w:rFonts w:ascii="Arial" w:hAnsi="Arial" w:cs="Arial"/>
                <w:sz w:val="20"/>
                <w:szCs w:val="20"/>
              </w:rPr>
            </w:pPr>
          </w:p>
        </w:tc>
      </w:tr>
      <w:tr w:rsidR="00810708" w:rsidRPr="000860B8" w14:paraId="5A3BC272" w14:textId="77777777" w:rsidTr="00883283">
        <w:trPr>
          <w:jc w:val="center"/>
        </w:trPr>
        <w:tc>
          <w:tcPr>
            <w:tcW w:w="1376" w:type="dxa"/>
            <w:vAlign w:val="center"/>
          </w:tcPr>
          <w:p w14:paraId="792389A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KA</w:t>
            </w:r>
          </w:p>
        </w:tc>
        <w:tc>
          <w:tcPr>
            <w:tcW w:w="1377" w:type="dxa"/>
            <w:vAlign w:val="center"/>
          </w:tcPr>
          <w:p w14:paraId="63641FF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-0.000560</w:t>
            </w:r>
          </w:p>
        </w:tc>
        <w:tc>
          <w:tcPr>
            <w:tcW w:w="1377" w:type="dxa"/>
            <w:vAlign w:val="center"/>
          </w:tcPr>
          <w:p w14:paraId="132BE46F"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0.001138</w:t>
            </w:r>
          </w:p>
        </w:tc>
        <w:tc>
          <w:tcPr>
            <w:tcW w:w="1377" w:type="dxa"/>
            <w:vAlign w:val="center"/>
          </w:tcPr>
          <w:p w14:paraId="15E740A8"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-0.491958</w:t>
            </w:r>
          </w:p>
        </w:tc>
        <w:tc>
          <w:tcPr>
            <w:tcW w:w="1377" w:type="dxa"/>
            <w:vAlign w:val="center"/>
          </w:tcPr>
          <w:p w14:paraId="63A827B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0.6230</w:t>
            </w:r>
          </w:p>
        </w:tc>
        <w:tc>
          <w:tcPr>
            <w:tcW w:w="1377" w:type="dxa"/>
            <w:vAlign w:val="center"/>
          </w:tcPr>
          <w:p w14:paraId="4507E07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6.479167</w:t>
            </w:r>
          </w:p>
        </w:tc>
      </w:tr>
      <w:tr w:rsidR="00810708" w:rsidRPr="000860B8" w14:paraId="560611CA" w14:textId="77777777" w:rsidTr="00883283">
        <w:trPr>
          <w:jc w:val="center"/>
        </w:trPr>
        <w:tc>
          <w:tcPr>
            <w:tcW w:w="1376" w:type="dxa"/>
            <w:vAlign w:val="center"/>
          </w:tcPr>
          <w:p w14:paraId="419F819B"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CSR</w:t>
            </w:r>
          </w:p>
        </w:tc>
        <w:tc>
          <w:tcPr>
            <w:tcW w:w="1377" w:type="dxa"/>
            <w:vAlign w:val="center"/>
          </w:tcPr>
          <w:p w14:paraId="1F3BEA4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0.056284</w:t>
            </w:r>
          </w:p>
        </w:tc>
        <w:tc>
          <w:tcPr>
            <w:tcW w:w="1377" w:type="dxa"/>
            <w:vAlign w:val="center"/>
          </w:tcPr>
          <w:p w14:paraId="58969C60"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0.098364</w:t>
            </w:r>
          </w:p>
        </w:tc>
        <w:tc>
          <w:tcPr>
            <w:tcW w:w="1377" w:type="dxa"/>
            <w:vAlign w:val="center"/>
          </w:tcPr>
          <w:p w14:paraId="24F9E3C5"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0.572199</w:t>
            </w:r>
          </w:p>
        </w:tc>
        <w:tc>
          <w:tcPr>
            <w:tcW w:w="1377" w:type="dxa"/>
            <w:vAlign w:val="center"/>
          </w:tcPr>
          <w:p w14:paraId="21A3CEB1"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0.5675</w:t>
            </w:r>
          </w:p>
        </w:tc>
        <w:tc>
          <w:tcPr>
            <w:tcW w:w="1377" w:type="dxa"/>
            <w:vAlign w:val="center"/>
          </w:tcPr>
          <w:p w14:paraId="243D12C7"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0.137311</w:t>
            </w:r>
          </w:p>
        </w:tc>
      </w:tr>
      <w:tr w:rsidR="00810708" w:rsidRPr="000860B8" w14:paraId="2174807E" w14:textId="77777777" w:rsidTr="00883283">
        <w:trPr>
          <w:jc w:val="center"/>
        </w:trPr>
        <w:tc>
          <w:tcPr>
            <w:tcW w:w="1376" w:type="dxa"/>
            <w:vAlign w:val="center"/>
          </w:tcPr>
          <w:p w14:paraId="41E566BF"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SIZE</w:t>
            </w:r>
          </w:p>
        </w:tc>
        <w:tc>
          <w:tcPr>
            <w:tcW w:w="1377" w:type="dxa"/>
            <w:vAlign w:val="center"/>
          </w:tcPr>
          <w:p w14:paraId="18A38A9A"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-0.004270</w:t>
            </w:r>
          </w:p>
        </w:tc>
        <w:tc>
          <w:tcPr>
            <w:tcW w:w="1377" w:type="dxa"/>
            <w:vAlign w:val="center"/>
          </w:tcPr>
          <w:p w14:paraId="5508E7E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0.003680</w:t>
            </w:r>
          </w:p>
        </w:tc>
        <w:tc>
          <w:tcPr>
            <w:tcW w:w="1377" w:type="dxa"/>
            <w:vAlign w:val="center"/>
          </w:tcPr>
          <w:p w14:paraId="51B6287E"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-1.160466</w:t>
            </w:r>
          </w:p>
        </w:tc>
        <w:tc>
          <w:tcPr>
            <w:tcW w:w="1377" w:type="dxa"/>
            <w:vAlign w:val="center"/>
          </w:tcPr>
          <w:p w14:paraId="543C48DB"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0.2466</w:t>
            </w:r>
          </w:p>
        </w:tc>
        <w:tc>
          <w:tcPr>
            <w:tcW w:w="1377" w:type="dxa"/>
            <w:vAlign w:val="center"/>
          </w:tcPr>
          <w:p w14:paraId="27C3E6A8"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28.27433</w:t>
            </w:r>
          </w:p>
        </w:tc>
      </w:tr>
      <w:tr w:rsidR="00810708" w:rsidRPr="000860B8" w14:paraId="7849799D" w14:textId="77777777" w:rsidTr="00883283">
        <w:trPr>
          <w:jc w:val="center"/>
        </w:trPr>
        <w:tc>
          <w:tcPr>
            <w:tcW w:w="1376" w:type="dxa"/>
            <w:vAlign w:val="center"/>
          </w:tcPr>
          <w:p w14:paraId="0D7223DD"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P_NP</w:t>
            </w:r>
          </w:p>
        </w:tc>
        <w:tc>
          <w:tcPr>
            <w:tcW w:w="1377" w:type="dxa"/>
            <w:vAlign w:val="center"/>
          </w:tcPr>
          <w:p w14:paraId="6ED690B3"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-0.029656</w:t>
            </w:r>
          </w:p>
        </w:tc>
        <w:tc>
          <w:tcPr>
            <w:tcW w:w="1377" w:type="dxa"/>
            <w:vAlign w:val="center"/>
          </w:tcPr>
          <w:p w14:paraId="387A24CE"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0.011944</w:t>
            </w:r>
          </w:p>
        </w:tc>
        <w:tc>
          <w:tcPr>
            <w:tcW w:w="1377" w:type="dxa"/>
            <w:vAlign w:val="center"/>
          </w:tcPr>
          <w:p w14:paraId="40E2BD64"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-2.482931</w:t>
            </w:r>
          </w:p>
        </w:tc>
        <w:tc>
          <w:tcPr>
            <w:tcW w:w="1377" w:type="dxa"/>
            <w:vAlign w:val="center"/>
          </w:tcPr>
          <w:p w14:paraId="558874E7"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0.0135</w:t>
            </w:r>
          </w:p>
        </w:tc>
        <w:tc>
          <w:tcPr>
            <w:tcW w:w="1377" w:type="dxa"/>
            <w:vAlign w:val="center"/>
          </w:tcPr>
          <w:p w14:paraId="6EF9980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sz w:val="20"/>
                <w:szCs w:val="20"/>
              </w:rPr>
              <w:t>0.666667</w:t>
            </w:r>
          </w:p>
        </w:tc>
      </w:tr>
      <w:tr w:rsidR="00810708" w:rsidRPr="000860B8" w14:paraId="56BB2C53" w14:textId="77777777" w:rsidTr="00883283">
        <w:trPr>
          <w:jc w:val="center"/>
        </w:trPr>
        <w:tc>
          <w:tcPr>
            <w:tcW w:w="8261" w:type="dxa"/>
            <w:gridSpan w:val="6"/>
            <w:vAlign w:val="center"/>
          </w:tcPr>
          <w:p w14:paraId="35CB63A9"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R-squared</w:t>
            </w:r>
            <w:r w:rsidRPr="000860B8">
              <w:rPr>
                <w:rFonts w:ascii="Arial" w:hAnsi="Arial" w:cs="Arial"/>
                <w:sz w:val="20"/>
                <w:szCs w:val="20"/>
              </w:rPr>
              <w:t xml:space="preserve"> 0.020506</w:t>
            </w:r>
          </w:p>
        </w:tc>
      </w:tr>
      <w:tr w:rsidR="00810708" w:rsidRPr="000860B8" w14:paraId="52FCF82D" w14:textId="77777777" w:rsidTr="00883283">
        <w:trPr>
          <w:jc w:val="center"/>
        </w:trPr>
        <w:tc>
          <w:tcPr>
            <w:tcW w:w="8261" w:type="dxa"/>
            <w:gridSpan w:val="6"/>
            <w:vAlign w:val="center"/>
          </w:tcPr>
          <w:p w14:paraId="65A05580"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Adjusted R-squared</w:t>
            </w:r>
            <w:r w:rsidRPr="000860B8">
              <w:rPr>
                <w:rFonts w:ascii="Arial" w:hAnsi="Arial" w:cs="Arial"/>
                <w:sz w:val="20"/>
                <w:szCs w:val="20"/>
              </w:rPr>
              <w:t xml:space="preserve"> 0.010169</w:t>
            </w:r>
          </w:p>
        </w:tc>
      </w:tr>
      <w:tr w:rsidR="00810708" w:rsidRPr="000860B8" w14:paraId="4C0BE389" w14:textId="77777777" w:rsidTr="00883283">
        <w:trPr>
          <w:jc w:val="center"/>
        </w:trPr>
        <w:tc>
          <w:tcPr>
            <w:tcW w:w="8261" w:type="dxa"/>
            <w:gridSpan w:val="6"/>
            <w:vAlign w:val="center"/>
          </w:tcPr>
          <w:p w14:paraId="4DC9A6AC"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F-statistic</w:t>
            </w:r>
            <w:r w:rsidRPr="000860B8">
              <w:rPr>
                <w:rFonts w:ascii="Arial" w:hAnsi="Arial" w:cs="Arial"/>
                <w:sz w:val="20"/>
                <w:szCs w:val="20"/>
              </w:rPr>
              <w:t xml:space="preserve"> 1.983645</w:t>
            </w:r>
          </w:p>
        </w:tc>
      </w:tr>
      <w:tr w:rsidR="00810708" w:rsidRPr="000860B8" w14:paraId="417762C9" w14:textId="77777777" w:rsidTr="00883283">
        <w:trPr>
          <w:jc w:val="center"/>
        </w:trPr>
        <w:tc>
          <w:tcPr>
            <w:tcW w:w="8261" w:type="dxa"/>
            <w:gridSpan w:val="6"/>
            <w:vAlign w:val="center"/>
          </w:tcPr>
          <w:p w14:paraId="7F24CA72" w14:textId="77777777" w:rsidR="00810708" w:rsidRPr="000860B8" w:rsidRDefault="00810708" w:rsidP="000860B8">
            <w:pPr>
              <w:pStyle w:val="NormalWeb"/>
              <w:spacing w:before="0" w:beforeAutospacing="0" w:after="0" w:afterAutospacing="0"/>
              <w:jc w:val="center"/>
              <w:rPr>
                <w:rFonts w:ascii="Arial" w:hAnsi="Arial" w:cs="Arial"/>
                <w:sz w:val="20"/>
                <w:szCs w:val="20"/>
              </w:rPr>
            </w:pPr>
            <w:r w:rsidRPr="000860B8">
              <w:rPr>
                <w:rFonts w:ascii="Arial" w:hAnsi="Arial" w:cs="Arial"/>
                <w:b/>
                <w:bCs/>
                <w:sz w:val="20"/>
                <w:szCs w:val="20"/>
              </w:rPr>
              <w:t>Prob(F-statistic)</w:t>
            </w:r>
            <w:r w:rsidRPr="000860B8">
              <w:rPr>
                <w:rFonts w:ascii="Arial" w:hAnsi="Arial" w:cs="Arial"/>
                <w:sz w:val="20"/>
                <w:szCs w:val="20"/>
              </w:rPr>
              <w:t xml:space="preserve"> 0.096330</w:t>
            </w:r>
          </w:p>
        </w:tc>
      </w:tr>
    </w:tbl>
    <w:p w14:paraId="3A98A5E4" w14:textId="77777777" w:rsidR="00CC6331" w:rsidRPr="000860B8" w:rsidRDefault="00CC6331" w:rsidP="000860B8">
      <w:pPr>
        <w:pStyle w:val="NormalWeb"/>
        <w:shd w:val="clear" w:color="auto" w:fill="FFFFFF"/>
        <w:spacing w:before="0" w:beforeAutospacing="0" w:after="0" w:afterAutospacing="0"/>
        <w:jc w:val="center"/>
        <w:rPr>
          <w:rFonts w:ascii="Arial" w:hAnsi="Arial" w:cs="Arial"/>
          <w:sz w:val="20"/>
          <w:szCs w:val="20"/>
        </w:rPr>
      </w:pPr>
      <w:r w:rsidRPr="000860B8">
        <w:rPr>
          <w:rFonts w:ascii="Arial" w:hAnsi="Arial" w:cs="Arial"/>
          <w:sz w:val="20"/>
          <w:szCs w:val="20"/>
        </w:rPr>
        <w:t xml:space="preserve">Source: Processed data, </w:t>
      </w:r>
      <w:proofErr w:type="spellStart"/>
      <w:r w:rsidRPr="000860B8">
        <w:rPr>
          <w:rFonts w:ascii="Arial" w:hAnsi="Arial" w:cs="Arial"/>
          <w:sz w:val="20"/>
          <w:szCs w:val="20"/>
        </w:rPr>
        <w:t>Eviews</w:t>
      </w:r>
      <w:proofErr w:type="spellEnd"/>
      <w:r w:rsidRPr="000860B8">
        <w:rPr>
          <w:rFonts w:ascii="Arial" w:hAnsi="Arial" w:cs="Arial"/>
          <w:sz w:val="20"/>
          <w:szCs w:val="20"/>
        </w:rPr>
        <w:t xml:space="preserve"> 12</w:t>
      </w:r>
    </w:p>
    <w:p w14:paraId="135EAC65" w14:textId="77777777" w:rsidR="000860B8" w:rsidRDefault="000860B8" w:rsidP="000860B8">
      <w:pPr>
        <w:pStyle w:val="NormalWeb"/>
        <w:shd w:val="clear" w:color="auto" w:fill="FFFFFF"/>
        <w:spacing w:before="0" w:beforeAutospacing="0" w:after="0" w:afterAutospacing="0"/>
        <w:ind w:firstLine="720"/>
        <w:jc w:val="both"/>
        <w:rPr>
          <w:rFonts w:ascii="Arial" w:hAnsi="Arial" w:cs="Arial"/>
          <w:sz w:val="22"/>
          <w:szCs w:val="22"/>
        </w:rPr>
      </w:pPr>
    </w:p>
    <w:p w14:paraId="045F0033" w14:textId="528354F2" w:rsidR="00810708" w:rsidRPr="000860B8" w:rsidRDefault="00CC633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Based on the table, the new multiple linear regression model is when the pandemic and non-pandemic year variables (P_NP) are included, namely</w:t>
      </w:r>
      <w:r w:rsidR="00810708" w:rsidRPr="000860B8">
        <w:rPr>
          <w:rFonts w:ascii="Arial" w:hAnsi="Arial" w:cs="Arial"/>
          <w:sz w:val="22"/>
          <w:szCs w:val="22"/>
        </w:rPr>
        <w:t xml:space="preserve">: </w:t>
      </w:r>
    </w:p>
    <w:p w14:paraId="079AC6E3" w14:textId="77777777" w:rsidR="000860B8" w:rsidRDefault="000860B8" w:rsidP="000860B8">
      <w:pPr>
        <w:pStyle w:val="NormalWeb"/>
        <w:shd w:val="clear" w:color="auto" w:fill="FFFFFF"/>
        <w:spacing w:before="0" w:beforeAutospacing="0" w:after="0" w:afterAutospacing="0"/>
        <w:jc w:val="center"/>
        <w:rPr>
          <w:rFonts w:ascii="Arial" w:hAnsi="Arial" w:cs="Arial"/>
          <w:b/>
          <w:bCs/>
          <w:sz w:val="22"/>
          <w:szCs w:val="22"/>
        </w:rPr>
      </w:pPr>
    </w:p>
    <w:p w14:paraId="4B975335" w14:textId="3208686C" w:rsidR="00810708" w:rsidRPr="000860B8" w:rsidRDefault="00810708"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ML = 0.103070 -0.000560KA +0.056284CSR -0.004270</w:t>
      </w:r>
      <w:r w:rsidRPr="000860B8">
        <w:rPr>
          <w:rFonts w:ascii="Arial" w:hAnsi="Arial" w:cs="Arial"/>
          <w:b/>
          <w:bCs/>
          <w:i/>
          <w:iCs/>
          <w:sz w:val="22"/>
          <w:szCs w:val="22"/>
        </w:rPr>
        <w:t>Size</w:t>
      </w:r>
      <w:r w:rsidRPr="000860B8">
        <w:rPr>
          <w:rFonts w:ascii="Arial" w:hAnsi="Arial" w:cs="Arial"/>
          <w:b/>
          <w:bCs/>
          <w:sz w:val="22"/>
          <w:szCs w:val="22"/>
        </w:rPr>
        <w:t xml:space="preserve"> -0.029656P_NP</w:t>
      </w:r>
    </w:p>
    <w:p w14:paraId="61827AA9" w14:textId="77777777" w:rsidR="000860B8" w:rsidRDefault="00810708" w:rsidP="000860B8">
      <w:pPr>
        <w:pStyle w:val="NormalWeb"/>
        <w:shd w:val="clear" w:color="auto" w:fill="FFFFFF"/>
        <w:spacing w:before="0" w:beforeAutospacing="0" w:after="0" w:afterAutospacing="0"/>
        <w:jc w:val="both"/>
        <w:rPr>
          <w:rFonts w:ascii="Arial" w:hAnsi="Arial" w:cs="Arial"/>
          <w:b/>
          <w:bCs/>
          <w:sz w:val="22"/>
          <w:szCs w:val="22"/>
        </w:rPr>
      </w:pPr>
      <w:r w:rsidRPr="000860B8">
        <w:rPr>
          <w:rFonts w:ascii="Arial" w:hAnsi="Arial" w:cs="Arial"/>
          <w:b/>
          <w:bCs/>
          <w:sz w:val="22"/>
          <w:szCs w:val="22"/>
        </w:rPr>
        <w:tab/>
      </w:r>
    </w:p>
    <w:p w14:paraId="7E2471EA" w14:textId="57CCA929" w:rsidR="00CC6331" w:rsidRPr="000860B8" w:rsidRDefault="00CC6331"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t xml:space="preserve">From the test results above, it can be seen that the first hypothesis (H1) in this study, namely the frequency of audit committee meetings has a negative effect on earnings management is accepted but not significant because the probability value &gt; alpha 0.05 (0.6230 &gt; 0.05) while for the second hypothesis (H2), namely disclosure CSR has a </w:t>
      </w:r>
      <w:r w:rsidRPr="000860B8">
        <w:rPr>
          <w:rFonts w:ascii="Arial" w:hAnsi="Arial" w:cs="Arial"/>
          <w:sz w:val="22"/>
          <w:szCs w:val="22"/>
        </w:rPr>
        <w:lastRenderedPageBreak/>
        <w:t>negative effect on earnings management but is rejected and not significant (0.5675 &gt; alpha 0.05. Then on the size variable it shows a negative effect on earnings management but not significant (0.2466 &gt; alpha 0.05). However, the additional variables, namely pandemic years and non-pandemic years show different results has a significant negative effect on earnings management as evidenced by the probability value of 0.0135 &lt;alpha 0.05 and the regression coefficient value of -0.029656 so that it can be concluded that both pandemic and non-pandemic years have a negative effect on earnings management.</w:t>
      </w:r>
    </w:p>
    <w:p w14:paraId="57331A50" w14:textId="77777777" w:rsidR="00CC6331" w:rsidRPr="000860B8" w:rsidRDefault="00CC6331" w:rsidP="000860B8">
      <w:pPr>
        <w:pStyle w:val="NormalWeb"/>
        <w:shd w:val="clear" w:color="auto" w:fill="FFFFFF"/>
        <w:spacing w:before="0" w:beforeAutospacing="0" w:after="0" w:afterAutospacing="0"/>
        <w:jc w:val="center"/>
        <w:rPr>
          <w:rFonts w:ascii="Arial" w:hAnsi="Arial" w:cs="Arial"/>
          <w:b/>
          <w:bCs/>
          <w:sz w:val="22"/>
          <w:szCs w:val="22"/>
        </w:rPr>
      </w:pPr>
      <w:r w:rsidRPr="000860B8">
        <w:rPr>
          <w:rFonts w:ascii="Arial" w:hAnsi="Arial" w:cs="Arial"/>
          <w:b/>
          <w:bCs/>
          <w:sz w:val="22"/>
          <w:szCs w:val="22"/>
        </w:rPr>
        <w:t>CONCLUSION</w:t>
      </w:r>
    </w:p>
    <w:p w14:paraId="5E855616" w14:textId="77777777" w:rsidR="00CC6331" w:rsidRPr="000860B8" w:rsidRDefault="00CC633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It can be concluded that the frequency of audit committee meetings has a significant negative effect on earnings management. This means that the more often the audit committee meets, the lower the chance for the company to manage earnings. The same thing applies to the second variable, namely CSR disclosure which has a significant negative effect on earnings management. These results indicate that companies that often disclose their CSR tend to have good ethics so that they present more transparent financial reports and show low earnings management. However, the control variable used, namely firm size, has a significant positive effect on earnings management. That is, large companies tend to have great opportunities to manage earnings.</w:t>
      </w:r>
    </w:p>
    <w:p w14:paraId="3F06E3F7" w14:textId="3C4480D4" w:rsidR="00AD5DA0" w:rsidRPr="000860B8" w:rsidRDefault="00CC6331" w:rsidP="000860B8">
      <w:pPr>
        <w:pStyle w:val="NormalWeb"/>
        <w:shd w:val="clear" w:color="auto" w:fill="FFFFFF"/>
        <w:spacing w:before="0" w:beforeAutospacing="0" w:after="0" w:afterAutospacing="0"/>
        <w:ind w:firstLine="720"/>
        <w:jc w:val="both"/>
        <w:rPr>
          <w:rFonts w:ascii="Arial" w:hAnsi="Arial" w:cs="Arial"/>
          <w:sz w:val="22"/>
          <w:szCs w:val="22"/>
        </w:rPr>
      </w:pPr>
      <w:r w:rsidRPr="000860B8">
        <w:rPr>
          <w:rFonts w:ascii="Arial" w:hAnsi="Arial" w:cs="Arial"/>
          <w:sz w:val="22"/>
          <w:szCs w:val="22"/>
        </w:rPr>
        <w:t>The limitations in this study are the classic assumption test, namely the normality test shows the results that the data is not normally distributed, so an additional test is carried out, namely the GLS (Generalized Least Square) panel test. This study also only examines one of the mechanisms of Good Corporate Governance, namely the Audit Committee, in this case regarding the frequency of audit committee meetings. Based on the limitations found during this study, suggestions can be given for further researchers. Future research is expected to add other independent variables such as other Good Corporate Governance mechanisms or use all of the mechanisms so that the data collected is more complex and the data can be normally distributed. Future research is also expected to add more years to the period, and use other research samples outside the manufacturing sector.</w:t>
      </w:r>
    </w:p>
    <w:p w14:paraId="06645CD1" w14:textId="77777777" w:rsidR="00AD5DA0" w:rsidRPr="000860B8" w:rsidRDefault="00AD5DA0" w:rsidP="000860B8">
      <w:pPr>
        <w:pStyle w:val="Heading1"/>
        <w:ind w:right="962"/>
      </w:pPr>
      <w:r w:rsidRPr="000860B8">
        <w:t>REFERENCES</w:t>
      </w:r>
    </w:p>
    <w:p w14:paraId="5349687C"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rPr>
        <w:fldChar w:fldCharType="begin" w:fldLock="1"/>
      </w:r>
      <w:r w:rsidRPr="000860B8">
        <w:rPr>
          <w:rFonts w:ascii="Arial" w:hAnsi="Arial" w:cs="Arial"/>
        </w:rPr>
        <w:instrText xml:space="preserve">ADDIN Mendeley Bibliography CSL_BIBLIOGRAPHY </w:instrText>
      </w:r>
      <w:r w:rsidRPr="000860B8">
        <w:rPr>
          <w:rFonts w:ascii="Arial" w:hAnsi="Arial" w:cs="Arial"/>
        </w:rPr>
        <w:fldChar w:fldCharType="separate"/>
      </w:r>
      <w:r w:rsidRPr="000860B8">
        <w:rPr>
          <w:rFonts w:ascii="Arial" w:hAnsi="Arial" w:cs="Arial"/>
          <w:noProof/>
        </w:rPr>
        <w:t xml:space="preserve">Adi, Y. E. K. A. (2020). </w:t>
      </w:r>
      <w:r w:rsidRPr="000860B8">
        <w:rPr>
          <w:rFonts w:ascii="Arial" w:hAnsi="Arial" w:cs="Arial"/>
          <w:i/>
          <w:iCs/>
          <w:noProof/>
        </w:rPr>
        <w:t>Corporate Governance, Ukuran Perusahaan, Leverage dan Real Earnings Management</w:t>
      </w:r>
      <w:r w:rsidRPr="000860B8">
        <w:rPr>
          <w:rFonts w:ascii="Arial" w:hAnsi="Arial" w:cs="Arial"/>
          <w:noProof/>
        </w:rPr>
        <w:t xml:space="preserve">. </w:t>
      </w:r>
      <w:r w:rsidRPr="000860B8">
        <w:rPr>
          <w:rFonts w:ascii="Arial" w:hAnsi="Arial" w:cs="Arial"/>
          <w:i/>
          <w:iCs/>
          <w:noProof/>
        </w:rPr>
        <w:t>21</w:t>
      </w:r>
      <w:r w:rsidRPr="000860B8">
        <w:rPr>
          <w:rFonts w:ascii="Arial" w:hAnsi="Arial" w:cs="Arial"/>
          <w:noProof/>
        </w:rPr>
        <w:t>(1), 1–9. http://mpoc.org.my/malaysian-palm-oil-industry/</w:t>
      </w:r>
    </w:p>
    <w:p w14:paraId="423A3D7B"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Alexander, N., &amp; Palupi, A. (2020). Pengaruh Corporate Social Responsibility Reporting Terhadap Manajemen Laba. </w:t>
      </w:r>
      <w:r w:rsidRPr="000860B8">
        <w:rPr>
          <w:rFonts w:ascii="Arial" w:hAnsi="Arial" w:cs="Arial"/>
          <w:i/>
          <w:iCs/>
          <w:noProof/>
        </w:rPr>
        <w:t>Jurnal Bisnis Dan Akuntansi</w:t>
      </w:r>
      <w:r w:rsidRPr="000860B8">
        <w:rPr>
          <w:rFonts w:ascii="Arial" w:hAnsi="Arial" w:cs="Arial"/>
          <w:noProof/>
        </w:rPr>
        <w:t xml:space="preserve">, </w:t>
      </w:r>
      <w:r w:rsidRPr="000860B8">
        <w:rPr>
          <w:rFonts w:ascii="Arial" w:hAnsi="Arial" w:cs="Arial"/>
          <w:i/>
          <w:iCs/>
          <w:noProof/>
        </w:rPr>
        <w:t>22</w:t>
      </w:r>
      <w:r w:rsidRPr="000860B8">
        <w:rPr>
          <w:rFonts w:ascii="Arial" w:hAnsi="Arial" w:cs="Arial"/>
          <w:noProof/>
        </w:rPr>
        <w:t>(1), 105–112. https://doi.org/10.34208/jba.v22i1.628</w:t>
      </w:r>
    </w:p>
    <w:p w14:paraId="4F5568C1"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Alfiyasahra, N., &amp; Challen, A. E. (2020). Pengaruh Kualitas Komite Audit dan Ukuran Kantor Akuntan Publik terhadap Manajemen Laba. </w:t>
      </w:r>
      <w:r w:rsidRPr="000860B8">
        <w:rPr>
          <w:rFonts w:ascii="Arial" w:hAnsi="Arial" w:cs="Arial"/>
          <w:i/>
          <w:iCs/>
          <w:noProof/>
        </w:rPr>
        <w:t>Jurnal Akuntansi Indonesia</w:t>
      </w:r>
      <w:r w:rsidRPr="000860B8">
        <w:rPr>
          <w:rFonts w:ascii="Arial" w:hAnsi="Arial" w:cs="Arial"/>
          <w:noProof/>
        </w:rPr>
        <w:t xml:space="preserve">, </w:t>
      </w:r>
      <w:r w:rsidRPr="000860B8">
        <w:rPr>
          <w:rFonts w:ascii="Arial" w:hAnsi="Arial" w:cs="Arial"/>
          <w:i/>
          <w:iCs/>
          <w:noProof/>
        </w:rPr>
        <w:t>9</w:t>
      </w:r>
      <w:r w:rsidRPr="000860B8">
        <w:rPr>
          <w:rFonts w:ascii="Arial" w:hAnsi="Arial" w:cs="Arial"/>
          <w:noProof/>
        </w:rPr>
        <w:t>(1), 37. https://doi.org/10.30659/jai.9.1.37-51</w:t>
      </w:r>
    </w:p>
    <w:p w14:paraId="1AA0A27C"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Amalia, B. Y., &amp; Didik, M. (2017). Pengaruh Konsentrasi Kepemilikan, Kepemilikan Institusional, Proporsi Dewan Komisaris Independen, dan Frekuensi Rapat Komite Audit Terhadap Praktik Manajemen Laba. </w:t>
      </w:r>
      <w:r w:rsidRPr="000860B8">
        <w:rPr>
          <w:rFonts w:ascii="Arial" w:hAnsi="Arial" w:cs="Arial"/>
          <w:i/>
          <w:iCs/>
          <w:noProof/>
        </w:rPr>
        <w:t>Diponegoro Journal of Accounting</w:t>
      </w:r>
      <w:r w:rsidRPr="000860B8">
        <w:rPr>
          <w:rFonts w:ascii="Arial" w:hAnsi="Arial" w:cs="Arial"/>
          <w:noProof/>
        </w:rPr>
        <w:t xml:space="preserve">, </w:t>
      </w:r>
      <w:r w:rsidRPr="000860B8">
        <w:rPr>
          <w:rFonts w:ascii="Arial" w:hAnsi="Arial" w:cs="Arial"/>
          <w:i/>
          <w:iCs/>
          <w:noProof/>
        </w:rPr>
        <w:t>6</w:t>
      </w:r>
      <w:r w:rsidRPr="000860B8">
        <w:rPr>
          <w:rFonts w:ascii="Arial" w:hAnsi="Arial" w:cs="Arial"/>
          <w:noProof/>
        </w:rPr>
        <w:t>(3), 1–14.</w:t>
      </w:r>
    </w:p>
    <w:p w14:paraId="1F8637E1"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Amar, A. Ben, &amp; Chakroun, S. (2018). Do dimensions of corporate social responsibility affect earnings management? </w:t>
      </w:r>
      <w:r w:rsidRPr="000860B8">
        <w:rPr>
          <w:rFonts w:ascii="Arial" w:hAnsi="Arial" w:cs="Arial"/>
          <w:i/>
          <w:iCs/>
          <w:noProof/>
        </w:rPr>
        <w:t>Journal of Financial Reporting and Accounting</w:t>
      </w:r>
      <w:r w:rsidRPr="000860B8">
        <w:rPr>
          <w:rFonts w:ascii="Arial" w:hAnsi="Arial" w:cs="Arial"/>
          <w:noProof/>
        </w:rPr>
        <w:t xml:space="preserve">, </w:t>
      </w:r>
      <w:r w:rsidRPr="000860B8">
        <w:rPr>
          <w:rFonts w:ascii="Arial" w:hAnsi="Arial" w:cs="Arial"/>
          <w:i/>
          <w:iCs/>
          <w:noProof/>
        </w:rPr>
        <w:lastRenderedPageBreak/>
        <w:t>16</w:t>
      </w:r>
      <w:r w:rsidRPr="000860B8">
        <w:rPr>
          <w:rFonts w:ascii="Arial" w:hAnsi="Arial" w:cs="Arial"/>
          <w:noProof/>
        </w:rPr>
        <w:t>(2), 348–370. https://doi.org/10.1108/JFRA-05-2017-0033</w:t>
      </w:r>
    </w:p>
    <w:p w14:paraId="7B1A7B7E"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Chandra, B., &amp; Junita, N. (2021). Tata kelola perusahaan dan manajemen laba terhadap kebijakan dividen di Indonesia. </w:t>
      </w:r>
      <w:r w:rsidRPr="000860B8">
        <w:rPr>
          <w:rFonts w:ascii="Arial" w:hAnsi="Arial" w:cs="Arial"/>
          <w:i/>
          <w:iCs/>
          <w:noProof/>
        </w:rPr>
        <w:t>Jurnal Ekonomi Modernisasi</w:t>
      </w:r>
      <w:r w:rsidRPr="000860B8">
        <w:rPr>
          <w:rFonts w:ascii="Arial" w:hAnsi="Arial" w:cs="Arial"/>
          <w:noProof/>
        </w:rPr>
        <w:t xml:space="preserve">, </w:t>
      </w:r>
      <w:r w:rsidRPr="000860B8">
        <w:rPr>
          <w:rFonts w:ascii="Arial" w:hAnsi="Arial" w:cs="Arial"/>
          <w:i/>
          <w:iCs/>
          <w:noProof/>
        </w:rPr>
        <w:t>17</w:t>
      </w:r>
      <w:r w:rsidRPr="000860B8">
        <w:rPr>
          <w:rFonts w:ascii="Arial" w:hAnsi="Arial" w:cs="Arial"/>
          <w:noProof/>
        </w:rPr>
        <w:t>(1), 15–26. https://doi.org/10.21067/jem.v17i1.5188</w:t>
      </w:r>
    </w:p>
    <w:p w14:paraId="420078ED"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Dechow, P. M., Sloan, R. G., &amp; Sweeney, A. P. (1995). Detecting Earnings Management. In </w:t>
      </w:r>
      <w:r w:rsidRPr="000860B8">
        <w:rPr>
          <w:rFonts w:ascii="Arial" w:hAnsi="Arial" w:cs="Arial"/>
          <w:i/>
          <w:iCs/>
          <w:noProof/>
        </w:rPr>
        <w:t>The accounting Review</w:t>
      </w:r>
      <w:r w:rsidRPr="000860B8">
        <w:rPr>
          <w:rFonts w:ascii="Arial" w:hAnsi="Arial" w:cs="Arial"/>
          <w:noProof/>
        </w:rPr>
        <w:t xml:space="preserve"> (Vol. 70, Issue 20, pp. 193–225). https://www.jstor.org/stable/248303</w:t>
      </w:r>
    </w:p>
    <w:p w14:paraId="272BE228"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Dewi, N. E., &amp; Triani, N. N. A. T. (2020). Pengaruh Komite Audit dan Kepemilikan Institusional terhadap Manajemen Laba pada Perusahaan Manufaktur di Indonesia. </w:t>
      </w:r>
      <w:r w:rsidRPr="000860B8">
        <w:rPr>
          <w:rFonts w:ascii="Arial" w:hAnsi="Arial" w:cs="Arial"/>
          <w:i/>
          <w:iCs/>
          <w:noProof/>
        </w:rPr>
        <w:t>Skripsi Universitas Diponegoro Semarang</w:t>
      </w:r>
      <w:r w:rsidRPr="000860B8">
        <w:rPr>
          <w:rFonts w:ascii="Arial" w:hAnsi="Arial" w:cs="Arial"/>
          <w:noProof/>
        </w:rPr>
        <w:t>, 117.</w:t>
      </w:r>
    </w:p>
    <w:p w14:paraId="598FEC00"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Dowling, J., &amp; Pfeffer, J. (1975). Organizational Legitimacy: Social Values and Organizational Behavior. </w:t>
      </w:r>
      <w:r w:rsidRPr="000860B8">
        <w:rPr>
          <w:rFonts w:ascii="Arial" w:hAnsi="Arial" w:cs="Arial"/>
          <w:i/>
          <w:iCs/>
          <w:noProof/>
        </w:rPr>
        <w:t>The Pacific Sociological Review</w:t>
      </w:r>
      <w:r w:rsidRPr="000860B8">
        <w:rPr>
          <w:rFonts w:ascii="Arial" w:hAnsi="Arial" w:cs="Arial"/>
          <w:noProof/>
        </w:rPr>
        <w:t xml:space="preserve">, </w:t>
      </w:r>
      <w:r w:rsidRPr="000860B8">
        <w:rPr>
          <w:rFonts w:ascii="Arial" w:hAnsi="Arial" w:cs="Arial"/>
          <w:i/>
          <w:iCs/>
          <w:noProof/>
        </w:rPr>
        <w:t>18</w:t>
      </w:r>
      <w:r w:rsidRPr="000860B8">
        <w:rPr>
          <w:rFonts w:ascii="Arial" w:hAnsi="Arial" w:cs="Arial"/>
          <w:noProof/>
        </w:rPr>
        <w:t>(1), 122–136.</w:t>
      </w:r>
    </w:p>
    <w:p w14:paraId="015DA32E"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Dwiyanti, K. T., &amp; Astriena, M. (2018). Pengaruh Kepemilikan Keluarga Dan Karakteristik Komite Audit Terhadap Manajemen Laba. </w:t>
      </w:r>
      <w:r w:rsidRPr="000860B8">
        <w:rPr>
          <w:rFonts w:ascii="Arial" w:hAnsi="Arial" w:cs="Arial"/>
          <w:i/>
          <w:iCs/>
          <w:noProof/>
        </w:rPr>
        <w:t>Jurnal Riset Akuntansi Dan Bisnis Airlangga</w:t>
      </w:r>
      <w:r w:rsidRPr="000860B8">
        <w:rPr>
          <w:rFonts w:ascii="Arial" w:hAnsi="Arial" w:cs="Arial"/>
          <w:noProof/>
        </w:rPr>
        <w:t xml:space="preserve">, </w:t>
      </w:r>
      <w:r w:rsidRPr="000860B8">
        <w:rPr>
          <w:rFonts w:ascii="Arial" w:hAnsi="Arial" w:cs="Arial"/>
          <w:i/>
          <w:iCs/>
          <w:noProof/>
        </w:rPr>
        <w:t>3</w:t>
      </w:r>
      <w:r w:rsidRPr="000860B8">
        <w:rPr>
          <w:rFonts w:ascii="Arial" w:hAnsi="Arial" w:cs="Arial"/>
          <w:noProof/>
        </w:rPr>
        <w:t>(2), 447–469. https://doi.org/10.31093/jraba.v3i2.123</w:t>
      </w:r>
    </w:p>
    <w:p w14:paraId="0049D3C3"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Fauziah, Y. D., Susilo, F., &amp; Herimyetti, H. (2021). Pengaruh Dewan Komisaris Independen, Komite Audit, Kompensasi Bonus, dan Financial Distress terhadap Manajemen Laba. </w:t>
      </w:r>
      <w:r w:rsidRPr="000860B8">
        <w:rPr>
          <w:rFonts w:ascii="Arial" w:hAnsi="Arial" w:cs="Arial"/>
          <w:i/>
          <w:iCs/>
          <w:noProof/>
        </w:rPr>
        <w:t>Junal Akuntansi</w:t>
      </w:r>
      <w:r w:rsidRPr="000860B8">
        <w:rPr>
          <w:rFonts w:ascii="Arial" w:hAnsi="Arial" w:cs="Arial"/>
          <w:noProof/>
        </w:rPr>
        <w:t xml:space="preserve">, </w:t>
      </w:r>
      <w:r w:rsidRPr="000860B8">
        <w:rPr>
          <w:rFonts w:ascii="Arial" w:hAnsi="Arial" w:cs="Arial"/>
          <w:i/>
          <w:iCs/>
          <w:noProof/>
        </w:rPr>
        <w:t>2</w:t>
      </w:r>
      <w:r w:rsidRPr="000860B8">
        <w:rPr>
          <w:rFonts w:ascii="Arial" w:hAnsi="Arial" w:cs="Arial"/>
          <w:noProof/>
        </w:rPr>
        <w:t>(7), 279–289.</w:t>
      </w:r>
    </w:p>
    <w:p w14:paraId="2B4D8E39"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Ghina, I., Nasution, N., &amp; Prasetyo, A. B. (2022). Pengaruh Komite Audit Terhadap Corporate Social Responsibility Melalui Keberadaan Manajemen Risiko. </w:t>
      </w:r>
      <w:r w:rsidRPr="000860B8">
        <w:rPr>
          <w:rFonts w:ascii="Arial" w:hAnsi="Arial" w:cs="Arial"/>
          <w:i/>
          <w:iCs/>
          <w:noProof/>
        </w:rPr>
        <w:t>Diponegoro Journal of Accounting</w:t>
      </w:r>
      <w:r w:rsidRPr="000860B8">
        <w:rPr>
          <w:rFonts w:ascii="Arial" w:hAnsi="Arial" w:cs="Arial"/>
          <w:noProof/>
        </w:rPr>
        <w:t xml:space="preserve">, </w:t>
      </w:r>
      <w:r w:rsidRPr="000860B8">
        <w:rPr>
          <w:rFonts w:ascii="Arial" w:hAnsi="Arial" w:cs="Arial"/>
          <w:i/>
          <w:iCs/>
          <w:noProof/>
        </w:rPr>
        <w:t>11</w:t>
      </w:r>
      <w:r w:rsidRPr="000860B8">
        <w:rPr>
          <w:rFonts w:ascii="Arial" w:hAnsi="Arial" w:cs="Arial"/>
          <w:noProof/>
        </w:rPr>
        <w:t>(3), 1–15. http://ejournal-s1.undip.ac.id/index.php/accounting</w:t>
      </w:r>
    </w:p>
    <w:p w14:paraId="5955F064"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Ghozali, I. (2016). </w:t>
      </w:r>
      <w:r w:rsidRPr="000860B8">
        <w:rPr>
          <w:rFonts w:ascii="Arial" w:hAnsi="Arial" w:cs="Arial"/>
          <w:i/>
          <w:iCs/>
          <w:noProof/>
        </w:rPr>
        <w:t>Aplikasi Analisis Multivariate dengan Program IBM SPSS 23 (Edisi 8)</w:t>
      </w:r>
      <w:r w:rsidRPr="000860B8">
        <w:rPr>
          <w:rFonts w:ascii="Arial" w:hAnsi="Arial" w:cs="Arial"/>
          <w:noProof/>
        </w:rPr>
        <w:t xml:space="preserve"> (8th ed.). Badan Penerbit Universitas Diponegoro.</w:t>
      </w:r>
    </w:p>
    <w:p w14:paraId="50F40BF0"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Hapsoro, D., &amp; Hartomo, A. B. (2016). Keberadaan Corporate Governance Sebagai Variabel Moderasi Pengaruh Financial Distress Terhadap Earnings Management. </w:t>
      </w:r>
      <w:r w:rsidRPr="000860B8">
        <w:rPr>
          <w:rFonts w:ascii="Arial" w:hAnsi="Arial" w:cs="Arial"/>
          <w:i/>
          <w:iCs/>
          <w:noProof/>
        </w:rPr>
        <w:t>Jurnal Ekonomi Dan Bisnis</w:t>
      </w:r>
      <w:r w:rsidRPr="000860B8">
        <w:rPr>
          <w:rFonts w:ascii="Arial" w:hAnsi="Arial" w:cs="Arial"/>
          <w:noProof/>
        </w:rPr>
        <w:t xml:space="preserve">, </w:t>
      </w:r>
      <w:r w:rsidRPr="000860B8">
        <w:rPr>
          <w:rFonts w:ascii="Arial" w:hAnsi="Arial" w:cs="Arial"/>
          <w:i/>
          <w:iCs/>
          <w:noProof/>
        </w:rPr>
        <w:t>19</w:t>
      </w:r>
      <w:r w:rsidRPr="000860B8">
        <w:rPr>
          <w:rFonts w:ascii="Arial" w:hAnsi="Arial" w:cs="Arial"/>
          <w:noProof/>
        </w:rPr>
        <w:t>(1), 91. https://doi.org/10.24914/jeb.v19i1.507</w:t>
      </w:r>
    </w:p>
    <w:p w14:paraId="3D7AC756"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Isnabella, H., &amp; Trisnawati, R. (2022). </w:t>
      </w:r>
      <w:r w:rsidRPr="000860B8">
        <w:rPr>
          <w:rFonts w:ascii="Arial" w:hAnsi="Arial" w:cs="Arial"/>
          <w:i/>
          <w:iCs/>
          <w:noProof/>
        </w:rPr>
        <w:t>Pengaruh Profitabilitas, Leverage, Enterprise Size, dan Komite Audit terhadap Pengungkapan Corporate Social Responsibility (Studi Empiris Pada Perusahaan Manufaktur Yang Terdaftar Di Bursa Efek Indonesia Periode 2018-2021)</w:t>
      </w:r>
      <w:r w:rsidRPr="000860B8">
        <w:rPr>
          <w:rFonts w:ascii="Arial" w:hAnsi="Arial" w:cs="Arial"/>
          <w:noProof/>
        </w:rPr>
        <w:t xml:space="preserve">. </w:t>
      </w:r>
      <w:r w:rsidRPr="000860B8">
        <w:rPr>
          <w:rFonts w:ascii="Arial" w:hAnsi="Arial" w:cs="Arial"/>
          <w:i/>
          <w:iCs/>
          <w:noProof/>
        </w:rPr>
        <w:t>11</w:t>
      </w:r>
      <w:r w:rsidRPr="000860B8">
        <w:rPr>
          <w:rFonts w:ascii="Arial" w:hAnsi="Arial" w:cs="Arial"/>
          <w:noProof/>
        </w:rPr>
        <w:t>(1), 1191–1200.</w:t>
      </w:r>
    </w:p>
    <w:p w14:paraId="2A3DFD38"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Jemunu, M. D., Apriyanto, G., &amp; Parawiyati, P. (2021). Good Corporate Governance, Pengungkapan Sustainability Report dan Manajemen Laba terhadap Nilai Perusahaan. </w:t>
      </w:r>
      <w:r w:rsidRPr="000860B8">
        <w:rPr>
          <w:rFonts w:ascii="Arial" w:hAnsi="Arial" w:cs="Arial"/>
          <w:i/>
          <w:iCs/>
          <w:noProof/>
        </w:rPr>
        <w:t>AFRE (Accounting and Financial Review)</w:t>
      </w:r>
      <w:r w:rsidRPr="000860B8">
        <w:rPr>
          <w:rFonts w:ascii="Arial" w:hAnsi="Arial" w:cs="Arial"/>
          <w:noProof/>
        </w:rPr>
        <w:t xml:space="preserve">, </w:t>
      </w:r>
      <w:r w:rsidRPr="000860B8">
        <w:rPr>
          <w:rFonts w:ascii="Arial" w:hAnsi="Arial" w:cs="Arial"/>
          <w:i/>
          <w:iCs/>
          <w:noProof/>
        </w:rPr>
        <w:t>3</w:t>
      </w:r>
      <w:r w:rsidRPr="000860B8">
        <w:rPr>
          <w:rFonts w:ascii="Arial" w:hAnsi="Arial" w:cs="Arial"/>
          <w:noProof/>
        </w:rPr>
        <w:t>(2), 93–102. https://doi.org/10.26905/afr.v3i2.5195</w:t>
      </w:r>
    </w:p>
    <w:p w14:paraId="2728120E"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Jensen, M. C., &amp; Meckling, W. H. (1976). Theory of the Firm : Managerial Behavior, Agency Costs and Ownership Structure. </w:t>
      </w:r>
      <w:r w:rsidRPr="000860B8">
        <w:rPr>
          <w:rFonts w:ascii="Arial" w:hAnsi="Arial" w:cs="Arial"/>
          <w:i/>
          <w:iCs/>
          <w:noProof/>
        </w:rPr>
        <w:t>Journal of Financial Economics</w:t>
      </w:r>
      <w:r w:rsidRPr="000860B8">
        <w:rPr>
          <w:rFonts w:ascii="Arial" w:hAnsi="Arial" w:cs="Arial"/>
          <w:noProof/>
        </w:rPr>
        <w:t xml:space="preserve">, </w:t>
      </w:r>
      <w:r w:rsidRPr="000860B8">
        <w:rPr>
          <w:rFonts w:ascii="Arial" w:hAnsi="Arial" w:cs="Arial"/>
          <w:i/>
          <w:iCs/>
          <w:noProof/>
        </w:rPr>
        <w:t>3</w:t>
      </w:r>
      <w:r w:rsidRPr="000860B8">
        <w:rPr>
          <w:rFonts w:ascii="Arial" w:hAnsi="Arial" w:cs="Arial"/>
          <w:noProof/>
        </w:rPr>
        <w:t>(4), 305–360. https://doi.org/10.1177/0018726718812602</w:t>
      </w:r>
    </w:p>
    <w:p w14:paraId="47496C37"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Juhmani, O. I. (2017). Audit Committee Characteristics and Earnings Management: The Case of Bahrain. </w:t>
      </w:r>
      <w:r w:rsidRPr="000860B8">
        <w:rPr>
          <w:rFonts w:ascii="Arial" w:hAnsi="Arial" w:cs="Arial"/>
          <w:i/>
          <w:iCs/>
          <w:noProof/>
        </w:rPr>
        <w:t>International Journal of Accounting and Financial Reporting</w:t>
      </w:r>
      <w:r w:rsidRPr="000860B8">
        <w:rPr>
          <w:rFonts w:ascii="Arial" w:hAnsi="Arial" w:cs="Arial"/>
          <w:noProof/>
        </w:rPr>
        <w:t xml:space="preserve">, </w:t>
      </w:r>
      <w:r w:rsidRPr="000860B8">
        <w:rPr>
          <w:rFonts w:ascii="Arial" w:hAnsi="Arial" w:cs="Arial"/>
          <w:i/>
          <w:iCs/>
          <w:noProof/>
        </w:rPr>
        <w:t>7</w:t>
      </w:r>
      <w:r w:rsidRPr="000860B8">
        <w:rPr>
          <w:rFonts w:ascii="Arial" w:hAnsi="Arial" w:cs="Arial"/>
          <w:noProof/>
        </w:rPr>
        <w:t>(1), 12. https://doi.org/10.5296/ijafr.v7i1.10447</w:t>
      </w:r>
    </w:p>
    <w:p w14:paraId="66C95E9B"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Kodriyah, K., Suprihatin, N. S., &amp; Octaviani, S. (2017). Peran Dewan Pengawas Syariah, Komite Audit Dan Dewan Komisaris Dalam Mendeteksi Praktik Manajemen Laba. </w:t>
      </w:r>
      <w:r w:rsidRPr="000860B8">
        <w:rPr>
          <w:rFonts w:ascii="Arial" w:hAnsi="Arial" w:cs="Arial"/>
          <w:i/>
          <w:iCs/>
          <w:noProof/>
        </w:rPr>
        <w:t>Jurnal Akuntansi</w:t>
      </w:r>
      <w:r w:rsidRPr="000860B8">
        <w:rPr>
          <w:rFonts w:ascii="Arial" w:hAnsi="Arial" w:cs="Arial"/>
          <w:noProof/>
        </w:rPr>
        <w:t xml:space="preserve">, </w:t>
      </w:r>
      <w:r w:rsidRPr="000860B8">
        <w:rPr>
          <w:rFonts w:ascii="Arial" w:hAnsi="Arial" w:cs="Arial"/>
          <w:i/>
          <w:iCs/>
          <w:noProof/>
        </w:rPr>
        <w:t>4</w:t>
      </w:r>
      <w:r w:rsidRPr="000860B8">
        <w:rPr>
          <w:rFonts w:ascii="Arial" w:hAnsi="Arial" w:cs="Arial"/>
          <w:noProof/>
        </w:rPr>
        <w:t>(2), 59–64.</w:t>
      </w:r>
    </w:p>
    <w:p w14:paraId="563F5E56"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Kristiana, U. E., &amp; Rita, M. R. (2021). Leverage, Ukuran Perusahaan, dan Siklus Hidup </w:t>
      </w:r>
      <w:r w:rsidRPr="000860B8">
        <w:rPr>
          <w:rFonts w:ascii="Arial" w:hAnsi="Arial" w:cs="Arial"/>
          <w:noProof/>
        </w:rPr>
        <w:lastRenderedPageBreak/>
        <w:t xml:space="preserve">Perusahaan terhadap Manajemen Laba. </w:t>
      </w:r>
      <w:r w:rsidRPr="000860B8">
        <w:rPr>
          <w:rFonts w:ascii="Arial" w:hAnsi="Arial" w:cs="Arial"/>
          <w:i/>
          <w:iCs/>
          <w:noProof/>
        </w:rPr>
        <w:t>AFRE (Accounting and Financial Review)</w:t>
      </w:r>
      <w:r w:rsidRPr="000860B8">
        <w:rPr>
          <w:rFonts w:ascii="Arial" w:hAnsi="Arial" w:cs="Arial"/>
          <w:noProof/>
        </w:rPr>
        <w:t xml:space="preserve">, </w:t>
      </w:r>
      <w:r w:rsidRPr="000860B8">
        <w:rPr>
          <w:rFonts w:ascii="Arial" w:hAnsi="Arial" w:cs="Arial"/>
          <w:i/>
          <w:iCs/>
          <w:noProof/>
        </w:rPr>
        <w:t>4</w:t>
      </w:r>
      <w:r w:rsidRPr="000860B8">
        <w:rPr>
          <w:rFonts w:ascii="Arial" w:hAnsi="Arial" w:cs="Arial"/>
          <w:noProof/>
        </w:rPr>
        <w:t>(1), 54–64. https://doi.org/10.26905/afr.v4i1.5802</w:t>
      </w:r>
    </w:p>
    <w:p w14:paraId="5812F703"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Kurniawati, D. (2021). Pengaruh Pengungkapan Corporate Social Responsibility terhadap Manajemen Laba Riil dengan Mekanisme Corporate Governance sebagai Pemoderasi. </w:t>
      </w:r>
      <w:r w:rsidRPr="000860B8">
        <w:rPr>
          <w:rFonts w:ascii="Arial" w:hAnsi="Arial" w:cs="Arial"/>
          <w:i/>
          <w:iCs/>
          <w:noProof/>
        </w:rPr>
        <w:t>Jurnal Buana Akuntansi</w:t>
      </w:r>
      <w:r w:rsidRPr="000860B8">
        <w:rPr>
          <w:rFonts w:ascii="Arial" w:hAnsi="Arial" w:cs="Arial"/>
          <w:noProof/>
        </w:rPr>
        <w:t xml:space="preserve">, </w:t>
      </w:r>
      <w:r w:rsidRPr="000860B8">
        <w:rPr>
          <w:rFonts w:ascii="Arial" w:hAnsi="Arial" w:cs="Arial"/>
          <w:i/>
          <w:iCs/>
          <w:noProof/>
        </w:rPr>
        <w:t>6</w:t>
      </w:r>
      <w:r w:rsidRPr="000860B8">
        <w:rPr>
          <w:rFonts w:ascii="Arial" w:hAnsi="Arial" w:cs="Arial"/>
          <w:noProof/>
        </w:rPr>
        <w:t>(2), 1–29. https://doi.org/10.36805/akuntansi.v6i2.1734</w:t>
      </w:r>
    </w:p>
    <w:p w14:paraId="6A9B0BE6"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Kusuma, I. G. B. I., &amp; Mertha, I. M. (2021). </w:t>
      </w:r>
      <w:r w:rsidRPr="000860B8">
        <w:rPr>
          <w:rFonts w:ascii="Arial" w:hAnsi="Arial" w:cs="Arial"/>
          <w:i/>
          <w:iCs/>
          <w:noProof/>
        </w:rPr>
        <w:t>Manajemen Laba dan Nilai Perusahaan (Studi Empiris pada Perusahaan Manufaktur di Bursa Efek Indonesia)</w:t>
      </w:r>
      <w:r w:rsidRPr="000860B8">
        <w:rPr>
          <w:rFonts w:ascii="Arial" w:hAnsi="Arial" w:cs="Arial"/>
          <w:noProof/>
        </w:rPr>
        <w:t>. 1934–1947.</w:t>
      </w:r>
    </w:p>
    <w:p w14:paraId="59246047"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Lau, S. K., &amp; Lasdi, L. (2017). Pengaruh Manajemen Laba Riil terhadap Tingkat Kepatuhan Pengungkapan Corporate Social Responsibility pada Perusahaan Manufaktur yang Terdaftar di Bursa Efek Indonesia. </w:t>
      </w:r>
      <w:r w:rsidRPr="000860B8">
        <w:rPr>
          <w:rFonts w:ascii="Arial" w:hAnsi="Arial" w:cs="Arial"/>
          <w:i/>
          <w:iCs/>
          <w:noProof/>
        </w:rPr>
        <w:t>Jurnal Akuntansi Kontemporer (JAKO)</w:t>
      </w:r>
      <w:r w:rsidRPr="000860B8">
        <w:rPr>
          <w:rFonts w:ascii="Arial" w:hAnsi="Arial" w:cs="Arial"/>
          <w:noProof/>
        </w:rPr>
        <w:t xml:space="preserve">, </w:t>
      </w:r>
      <w:r w:rsidRPr="000860B8">
        <w:rPr>
          <w:rFonts w:ascii="Arial" w:hAnsi="Arial" w:cs="Arial"/>
          <w:i/>
          <w:iCs/>
          <w:noProof/>
        </w:rPr>
        <w:t>9</w:t>
      </w:r>
      <w:r w:rsidRPr="000860B8">
        <w:rPr>
          <w:rFonts w:ascii="Arial" w:hAnsi="Arial" w:cs="Arial"/>
          <w:noProof/>
        </w:rPr>
        <w:t>(2), 113–131. https://doaj.org/search?ref=homepage</w:t>
      </w:r>
    </w:p>
    <w:p w14:paraId="638E68F2"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Marsha, F., &amp; Ghozali, I. (2017). Pengaruh Ukuran Komite Audit, Audit Eksternal, Jumlah Rapat Komite Audit, Jumlah Rapat Dewan Komisaris Dan Kepemilikan Institusional Terhadap Manajemen Laba (Studi Empiris Perusahaan Manufaktur yang Terdaftar di BEI tahun 2012-2014). </w:t>
      </w:r>
      <w:r w:rsidRPr="000860B8">
        <w:rPr>
          <w:rFonts w:ascii="Arial" w:hAnsi="Arial" w:cs="Arial"/>
          <w:i/>
          <w:iCs/>
          <w:noProof/>
        </w:rPr>
        <w:t>Diponegoro Journal of Accounting</w:t>
      </w:r>
      <w:r w:rsidRPr="000860B8">
        <w:rPr>
          <w:rFonts w:ascii="Arial" w:hAnsi="Arial" w:cs="Arial"/>
          <w:noProof/>
        </w:rPr>
        <w:t xml:space="preserve">, </w:t>
      </w:r>
      <w:r w:rsidRPr="000860B8">
        <w:rPr>
          <w:rFonts w:ascii="Arial" w:hAnsi="Arial" w:cs="Arial"/>
          <w:i/>
          <w:iCs/>
          <w:noProof/>
        </w:rPr>
        <w:t>6</w:t>
      </w:r>
      <w:r w:rsidRPr="000860B8">
        <w:rPr>
          <w:rFonts w:ascii="Arial" w:hAnsi="Arial" w:cs="Arial"/>
          <w:noProof/>
        </w:rPr>
        <w:t>(2), 91–102.</w:t>
      </w:r>
    </w:p>
    <w:p w14:paraId="695CEDFE"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Mert Kantar, Y. (2015). Generalized Least Squares and Weighted Least Squares Estimation Methods for Distributional Parameters. </w:t>
      </w:r>
      <w:r w:rsidRPr="000860B8">
        <w:rPr>
          <w:rFonts w:ascii="Arial" w:hAnsi="Arial" w:cs="Arial"/>
          <w:i/>
          <w:iCs/>
          <w:noProof/>
        </w:rPr>
        <w:t>Revstat Statistical Journal</w:t>
      </w:r>
      <w:r w:rsidRPr="000860B8">
        <w:rPr>
          <w:rFonts w:ascii="Arial" w:hAnsi="Arial" w:cs="Arial"/>
          <w:noProof/>
        </w:rPr>
        <w:t xml:space="preserve">, </w:t>
      </w:r>
      <w:r w:rsidRPr="000860B8">
        <w:rPr>
          <w:rFonts w:ascii="Arial" w:hAnsi="Arial" w:cs="Arial"/>
          <w:i/>
          <w:iCs/>
          <w:noProof/>
        </w:rPr>
        <w:t>13</w:t>
      </w:r>
      <w:r w:rsidRPr="000860B8">
        <w:rPr>
          <w:rFonts w:ascii="Arial" w:hAnsi="Arial" w:cs="Arial"/>
          <w:noProof/>
        </w:rPr>
        <w:t>(3), 263–282.</w:t>
      </w:r>
    </w:p>
    <w:p w14:paraId="2D232090"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Nahar, M., &amp; Erawati, T. (2017). Pengaruh NPM, FDR, Komite Audit, Pertumbuhan Usaha, Leverage dan Size terhadap Manajemen Laba. </w:t>
      </w:r>
      <w:r w:rsidRPr="000860B8">
        <w:rPr>
          <w:rFonts w:ascii="Arial" w:hAnsi="Arial" w:cs="Arial"/>
          <w:i/>
          <w:iCs/>
          <w:noProof/>
        </w:rPr>
        <w:t>Akuntansi Dewantara</w:t>
      </w:r>
      <w:r w:rsidRPr="000860B8">
        <w:rPr>
          <w:rFonts w:ascii="Arial" w:hAnsi="Arial" w:cs="Arial"/>
          <w:noProof/>
        </w:rPr>
        <w:t xml:space="preserve">, </w:t>
      </w:r>
      <w:r w:rsidRPr="000860B8">
        <w:rPr>
          <w:rFonts w:ascii="Arial" w:hAnsi="Arial" w:cs="Arial"/>
          <w:i/>
          <w:iCs/>
          <w:noProof/>
        </w:rPr>
        <w:t>1</w:t>
      </w:r>
      <w:r w:rsidRPr="000860B8">
        <w:rPr>
          <w:rFonts w:ascii="Arial" w:hAnsi="Arial" w:cs="Arial"/>
          <w:noProof/>
        </w:rPr>
        <w:t>(1), 63–74.</w:t>
      </w:r>
    </w:p>
    <w:p w14:paraId="37A4EE62"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Nurhayati, P., Devi, H. P., &amp; Azizah, A. M. (2022). Pengaruh asimetri informasi, corporate governance terhadap earning management pada perusahaan BUMN di Indonesia. </w:t>
      </w:r>
      <w:r w:rsidRPr="000860B8">
        <w:rPr>
          <w:rFonts w:ascii="Arial" w:hAnsi="Arial" w:cs="Arial"/>
          <w:i/>
          <w:iCs/>
          <w:noProof/>
        </w:rPr>
        <w:t>Owner</w:t>
      </w:r>
      <w:r w:rsidRPr="000860B8">
        <w:rPr>
          <w:rFonts w:ascii="Arial" w:hAnsi="Arial" w:cs="Arial"/>
          <w:noProof/>
        </w:rPr>
        <w:t xml:space="preserve">, </w:t>
      </w:r>
      <w:r w:rsidRPr="000860B8">
        <w:rPr>
          <w:rFonts w:ascii="Arial" w:hAnsi="Arial" w:cs="Arial"/>
          <w:i/>
          <w:iCs/>
          <w:noProof/>
        </w:rPr>
        <w:t>6</w:t>
      </w:r>
      <w:r w:rsidRPr="000860B8">
        <w:rPr>
          <w:rFonts w:ascii="Arial" w:hAnsi="Arial" w:cs="Arial"/>
          <w:noProof/>
        </w:rPr>
        <w:t>(1), 792–801. https://doi.org/10.33395/owner.v6i1.466</w:t>
      </w:r>
    </w:p>
    <w:p w14:paraId="4D59F6AC"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Nuswandari, H. J. P. dan C. (2021). Kualitas audit, profitabilitas, leverage, dan manajemen laba riil. </w:t>
      </w:r>
      <w:r w:rsidRPr="000860B8">
        <w:rPr>
          <w:rFonts w:ascii="Arial" w:hAnsi="Arial" w:cs="Arial"/>
          <w:i/>
          <w:iCs/>
          <w:noProof/>
        </w:rPr>
        <w:t>Jurnal Ilmiah Akuntansi</w:t>
      </w:r>
      <w:r w:rsidRPr="000860B8">
        <w:rPr>
          <w:rFonts w:ascii="Arial" w:hAnsi="Arial" w:cs="Arial"/>
          <w:noProof/>
        </w:rPr>
        <w:t xml:space="preserve">, </w:t>
      </w:r>
      <w:r w:rsidRPr="000860B8">
        <w:rPr>
          <w:rFonts w:ascii="Arial" w:hAnsi="Arial" w:cs="Arial"/>
          <w:i/>
          <w:iCs/>
          <w:noProof/>
        </w:rPr>
        <w:t>11</w:t>
      </w:r>
      <w:r w:rsidRPr="000860B8">
        <w:rPr>
          <w:rFonts w:ascii="Arial" w:hAnsi="Arial" w:cs="Arial"/>
          <w:noProof/>
        </w:rPr>
        <w:t>(2), 303–311. https://ejournal.undiksha.ac.id/index.php/JJA/article/view/35854</w:t>
      </w:r>
    </w:p>
    <w:p w14:paraId="0F5912DB"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Panjaitan, D. K., &amp; Muslih, M. (2019). Manajemen Laba : Ukuran Perusahaan, Kepemilikan Manajerial dan Kompensasi Bonus. </w:t>
      </w:r>
      <w:r w:rsidRPr="000860B8">
        <w:rPr>
          <w:rFonts w:ascii="Arial" w:hAnsi="Arial" w:cs="Arial"/>
          <w:i/>
          <w:iCs/>
          <w:noProof/>
        </w:rPr>
        <w:t>Jurnal ASET (Akuntansi Riset) (Akuntansi Riset)</w:t>
      </w:r>
      <w:r w:rsidRPr="000860B8">
        <w:rPr>
          <w:rFonts w:ascii="Arial" w:hAnsi="Arial" w:cs="Arial"/>
          <w:noProof/>
        </w:rPr>
        <w:t xml:space="preserve">, </w:t>
      </w:r>
      <w:r w:rsidRPr="000860B8">
        <w:rPr>
          <w:rFonts w:ascii="Arial" w:hAnsi="Arial" w:cs="Arial"/>
          <w:i/>
          <w:iCs/>
          <w:noProof/>
        </w:rPr>
        <w:t>11 (1)</w:t>
      </w:r>
      <w:r w:rsidRPr="000860B8">
        <w:rPr>
          <w:rFonts w:ascii="Arial" w:hAnsi="Arial" w:cs="Arial"/>
          <w:noProof/>
        </w:rPr>
        <w:t>(1), 1–20.</w:t>
      </w:r>
    </w:p>
    <w:p w14:paraId="67352463"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Rahmawardani, D. D., &amp; Muslichah, M. (2020). Corporate Social Responsibility Terhadap Manajemen Laba Dan Kinerja Perusahaan. </w:t>
      </w:r>
      <w:r w:rsidRPr="000860B8">
        <w:rPr>
          <w:rFonts w:ascii="Arial" w:hAnsi="Arial" w:cs="Arial"/>
          <w:i/>
          <w:iCs/>
          <w:noProof/>
        </w:rPr>
        <w:t>Jurnal Riset Akuntansi Kontemporer</w:t>
      </w:r>
      <w:r w:rsidRPr="000860B8">
        <w:rPr>
          <w:rFonts w:ascii="Arial" w:hAnsi="Arial" w:cs="Arial"/>
          <w:noProof/>
        </w:rPr>
        <w:t xml:space="preserve">, </w:t>
      </w:r>
      <w:r w:rsidRPr="000860B8">
        <w:rPr>
          <w:rFonts w:ascii="Arial" w:hAnsi="Arial" w:cs="Arial"/>
          <w:i/>
          <w:iCs/>
          <w:noProof/>
        </w:rPr>
        <w:t>12</w:t>
      </w:r>
      <w:r w:rsidRPr="000860B8">
        <w:rPr>
          <w:rFonts w:ascii="Arial" w:hAnsi="Arial" w:cs="Arial"/>
          <w:noProof/>
        </w:rPr>
        <w:t>(2), 52–59. https://doi.org/10.23969/jrak.v12i2.2251</w:t>
      </w:r>
    </w:p>
    <w:p w14:paraId="7CC1D915"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Rahmawati, &amp; Adhani, I. (2022). Pengaruh GCG dan CSR terhadap Manajemen Laba serta Dampaknya pada Tax Avoidance. </w:t>
      </w:r>
      <w:r w:rsidRPr="000860B8">
        <w:rPr>
          <w:rFonts w:ascii="Arial" w:hAnsi="Arial" w:cs="Arial"/>
          <w:i/>
          <w:iCs/>
          <w:noProof/>
        </w:rPr>
        <w:t>Akuntansi, Jurnal</w:t>
      </w:r>
      <w:r w:rsidRPr="000860B8">
        <w:rPr>
          <w:rFonts w:ascii="Arial" w:hAnsi="Arial" w:cs="Arial"/>
          <w:noProof/>
        </w:rPr>
        <w:t xml:space="preserve">, </w:t>
      </w:r>
      <w:r w:rsidRPr="000860B8">
        <w:rPr>
          <w:rFonts w:ascii="Arial" w:hAnsi="Arial" w:cs="Arial"/>
          <w:i/>
          <w:iCs/>
          <w:noProof/>
        </w:rPr>
        <w:t>6</w:t>
      </w:r>
      <w:r w:rsidRPr="000860B8">
        <w:rPr>
          <w:rFonts w:ascii="Arial" w:hAnsi="Arial" w:cs="Arial"/>
          <w:noProof/>
        </w:rPr>
        <w:t>, 1–12.</w:t>
      </w:r>
    </w:p>
    <w:p w14:paraId="33B1E2C8"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Razak, B., &amp; Helmy, H. (2020). Pengaruh Dewan Direksi Wanita, Dewan Komisaris Wanita Dan Kualitas Pengungkapan Corporate Social Responsibility Terhadap Manajemen Laba (Studi Empiris pada Perusahaan yang Terdaftar di BEI dan Menerbitkan Laporan Keberlanjutan Tahun 2015-2018). </w:t>
      </w:r>
      <w:r w:rsidRPr="000860B8">
        <w:rPr>
          <w:rFonts w:ascii="Arial" w:hAnsi="Arial" w:cs="Arial"/>
          <w:i/>
          <w:iCs/>
          <w:noProof/>
        </w:rPr>
        <w:t>Jurnal Eksplorasi Akuntansi (JEA)</w:t>
      </w:r>
      <w:r w:rsidRPr="000860B8">
        <w:rPr>
          <w:rFonts w:ascii="Arial" w:hAnsi="Arial" w:cs="Arial"/>
          <w:noProof/>
        </w:rPr>
        <w:t xml:space="preserve">, </w:t>
      </w:r>
      <w:r w:rsidRPr="000860B8">
        <w:rPr>
          <w:rFonts w:ascii="Arial" w:hAnsi="Arial" w:cs="Arial"/>
          <w:i/>
          <w:iCs/>
          <w:noProof/>
        </w:rPr>
        <w:t>2</w:t>
      </w:r>
      <w:r w:rsidRPr="000860B8">
        <w:rPr>
          <w:rFonts w:ascii="Arial" w:hAnsi="Arial" w:cs="Arial"/>
          <w:noProof/>
        </w:rPr>
        <w:t>(No.4 Edisi: November (2020)), 3434–3451.</w:t>
      </w:r>
    </w:p>
    <w:p w14:paraId="4A55D8B7"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Rumapea, M., Purba, D. H. P., &amp; Stenardy, S. (2021a). Pengaruh Corporate Social Responsibility dan Tax Avoidance terhadap Manajemen Laba pada Perusaaan Aneka Industri yang Terdaftar di BEI Periode 2017-2019. </w:t>
      </w:r>
      <w:r w:rsidRPr="000860B8">
        <w:rPr>
          <w:rFonts w:ascii="Arial" w:hAnsi="Arial" w:cs="Arial"/>
          <w:i/>
          <w:iCs/>
          <w:noProof/>
        </w:rPr>
        <w:t>Jurnal Akuntansi Dan Keuangan Methodist</w:t>
      </w:r>
      <w:r w:rsidRPr="000860B8">
        <w:rPr>
          <w:rFonts w:ascii="Arial" w:hAnsi="Arial" w:cs="Arial"/>
          <w:noProof/>
        </w:rPr>
        <w:t xml:space="preserve">, </w:t>
      </w:r>
      <w:r w:rsidRPr="000860B8">
        <w:rPr>
          <w:rFonts w:ascii="Arial" w:hAnsi="Arial" w:cs="Arial"/>
          <w:i/>
          <w:iCs/>
          <w:noProof/>
        </w:rPr>
        <w:t>4</w:t>
      </w:r>
      <w:r w:rsidRPr="000860B8">
        <w:rPr>
          <w:rFonts w:ascii="Arial" w:hAnsi="Arial" w:cs="Arial"/>
          <w:noProof/>
        </w:rPr>
        <w:t>(2), 210–224.</w:t>
      </w:r>
    </w:p>
    <w:p w14:paraId="5A67B7F3"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lastRenderedPageBreak/>
        <w:t xml:space="preserve">Rumapea, M., Purba, D. H. P., &amp; Stenardy, S. (2021b). </w:t>
      </w:r>
      <w:r w:rsidRPr="000860B8">
        <w:rPr>
          <w:rFonts w:ascii="Arial" w:hAnsi="Arial" w:cs="Arial"/>
          <w:i/>
          <w:iCs/>
          <w:noProof/>
        </w:rPr>
        <w:t>Pengaruh Corporate Social Responsibility dan Tax Avoidance terhadap Manajemen Laba pada Perusahaan Aneka Industri yang Terdaftar di BEI Periode 2017-2019</w:t>
      </w:r>
      <w:r w:rsidRPr="000860B8">
        <w:rPr>
          <w:rFonts w:ascii="Arial" w:hAnsi="Arial" w:cs="Arial"/>
          <w:noProof/>
        </w:rPr>
        <w:t xml:space="preserve">. </w:t>
      </w:r>
      <w:r w:rsidRPr="000860B8">
        <w:rPr>
          <w:rFonts w:ascii="Arial" w:hAnsi="Arial" w:cs="Arial"/>
          <w:i/>
          <w:iCs/>
          <w:noProof/>
        </w:rPr>
        <w:t>4</w:t>
      </w:r>
      <w:r w:rsidRPr="000860B8">
        <w:rPr>
          <w:rFonts w:ascii="Arial" w:hAnsi="Arial" w:cs="Arial"/>
          <w:noProof/>
        </w:rPr>
        <w:t>(2).</w:t>
      </w:r>
    </w:p>
    <w:p w14:paraId="5808CC74"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Samara, Y. R., Davianti, A., Kristen, U., &amp; Wacana, S. (2020). </w:t>
      </w:r>
      <w:r w:rsidRPr="000860B8">
        <w:rPr>
          <w:rFonts w:ascii="Arial" w:hAnsi="Arial" w:cs="Arial"/>
          <w:i/>
          <w:iCs/>
          <w:noProof/>
        </w:rPr>
        <w:t>Pengaruh Faktor Finansial dan Non-Finansial terhadap Pengungkapan Corporate Social Responsibility (CSR) pada Perusahaan Publik</w:t>
      </w:r>
      <w:r w:rsidRPr="000860B8">
        <w:rPr>
          <w:rFonts w:ascii="Arial" w:hAnsi="Arial" w:cs="Arial"/>
          <w:noProof/>
        </w:rPr>
        <w:t>.</w:t>
      </w:r>
    </w:p>
    <w:p w14:paraId="64985C8C"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Sandria, F. (2021). </w:t>
      </w:r>
      <w:r w:rsidRPr="000860B8">
        <w:rPr>
          <w:rFonts w:ascii="Arial" w:hAnsi="Arial" w:cs="Arial"/>
          <w:i/>
          <w:iCs/>
          <w:noProof/>
        </w:rPr>
        <w:t>Ada Emiten Diduga Manipulasi Lapkeu, Langsung Dicecar BEI!</w:t>
      </w:r>
      <w:r w:rsidRPr="000860B8">
        <w:rPr>
          <w:rFonts w:ascii="Arial" w:hAnsi="Arial" w:cs="Arial"/>
          <w:noProof/>
        </w:rPr>
        <w:t xml:space="preserve"> CNBC Indonesia. https://www.cnbcindonesia.com/market/20210723180023-17-263194/ada-emiten-diduga-manipulasi-lapkeu-langsung-dicecar-bei</w:t>
      </w:r>
    </w:p>
    <w:p w14:paraId="442361F7"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Sembiring, C. L. (2017). Manajemen Laba dan Pengungkapan Tanggung Jawab Sosial Perusahaan dengan Komisaris Independen dan Kepemilikan Institusional sebagai Variabel Pemoderasi. </w:t>
      </w:r>
      <w:r w:rsidRPr="000860B8">
        <w:rPr>
          <w:rFonts w:ascii="Arial" w:hAnsi="Arial" w:cs="Arial"/>
          <w:i/>
          <w:iCs/>
          <w:noProof/>
        </w:rPr>
        <w:t>Berkala Akuntansi Dan Keuangan Indonesia</w:t>
      </w:r>
      <w:r w:rsidRPr="000860B8">
        <w:rPr>
          <w:rFonts w:ascii="Arial" w:hAnsi="Arial" w:cs="Arial"/>
          <w:noProof/>
        </w:rPr>
        <w:t xml:space="preserve">, </w:t>
      </w:r>
      <w:r w:rsidRPr="000860B8">
        <w:rPr>
          <w:rFonts w:ascii="Arial" w:hAnsi="Arial" w:cs="Arial"/>
          <w:i/>
          <w:iCs/>
          <w:noProof/>
        </w:rPr>
        <w:t>2</w:t>
      </w:r>
      <w:r w:rsidRPr="000860B8">
        <w:rPr>
          <w:rFonts w:ascii="Arial" w:hAnsi="Arial" w:cs="Arial"/>
          <w:noProof/>
        </w:rPr>
        <w:t>(1), 20–41. https://doi.org/10.20473/baki.v2i1.3544</w:t>
      </w:r>
    </w:p>
    <w:p w14:paraId="1C722B48"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Setiawan, T. (2009). </w:t>
      </w:r>
      <w:r w:rsidRPr="000860B8">
        <w:rPr>
          <w:rFonts w:ascii="Arial" w:hAnsi="Arial" w:cs="Arial"/>
          <w:i/>
          <w:iCs/>
          <w:noProof/>
        </w:rPr>
        <w:t>Analisis Pengaruh Mekanisme Good Corporate Governance Terhadap Praktek Manajemen Laba pada Perusahaan Manufaktur yang Terdaftar di Bursa Efek Indonesia periode 2005-2007</w:t>
      </w:r>
      <w:r w:rsidRPr="000860B8">
        <w:rPr>
          <w:rFonts w:ascii="Arial" w:hAnsi="Arial" w:cs="Arial"/>
          <w:noProof/>
        </w:rPr>
        <w:t>.</w:t>
      </w:r>
    </w:p>
    <w:p w14:paraId="62F327DF"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Sihombing, M. A. R., &amp; Laksito, H. (2017). Pengaruh Karakteristik Komite Audit dan Kualitas Auditor Eksternal terhadap Manajemen Laba. </w:t>
      </w:r>
      <w:r w:rsidRPr="000860B8">
        <w:rPr>
          <w:rFonts w:ascii="Arial" w:hAnsi="Arial" w:cs="Arial"/>
          <w:i/>
          <w:iCs/>
          <w:noProof/>
        </w:rPr>
        <w:t>Diponegoro Journal of Accounting</w:t>
      </w:r>
      <w:r w:rsidRPr="000860B8">
        <w:rPr>
          <w:rFonts w:ascii="Arial" w:hAnsi="Arial" w:cs="Arial"/>
          <w:noProof/>
        </w:rPr>
        <w:t xml:space="preserve">, </w:t>
      </w:r>
      <w:r w:rsidRPr="000860B8">
        <w:rPr>
          <w:rFonts w:ascii="Arial" w:hAnsi="Arial" w:cs="Arial"/>
          <w:i/>
          <w:iCs/>
          <w:noProof/>
        </w:rPr>
        <w:t>53</w:t>
      </w:r>
      <w:r w:rsidRPr="000860B8">
        <w:rPr>
          <w:rFonts w:ascii="Arial" w:hAnsi="Arial" w:cs="Arial"/>
          <w:noProof/>
        </w:rPr>
        <w:t>(9), 1689–1699. https://karyailmiah.unisba.ac.id/index.php/akuntansi/article/view/19903</w:t>
      </w:r>
    </w:p>
    <w:p w14:paraId="254D7120"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Solikhah, I. (2022). Pengaruh Pengungkapan Corporate Social Responsibility (CSR) Terhadap Profitabilitas dan Manajemen Laba (Studi Empiris Pada Perusahaan Manufaktur Yang Terdaftar Di Bursa Efek Indonesia (BEI) Tahun 2015-2017). </w:t>
      </w:r>
      <w:r w:rsidRPr="000860B8">
        <w:rPr>
          <w:rFonts w:ascii="Arial" w:hAnsi="Arial" w:cs="Arial"/>
          <w:i/>
          <w:iCs/>
          <w:noProof/>
        </w:rPr>
        <w:t>Jurnal Akuntansi AKUNESA</w:t>
      </w:r>
      <w:r w:rsidRPr="000860B8">
        <w:rPr>
          <w:rFonts w:ascii="Arial" w:hAnsi="Arial" w:cs="Arial"/>
          <w:noProof/>
        </w:rPr>
        <w:t xml:space="preserve">, </w:t>
      </w:r>
      <w:r w:rsidRPr="000860B8">
        <w:rPr>
          <w:rFonts w:ascii="Arial" w:hAnsi="Arial" w:cs="Arial"/>
          <w:i/>
          <w:iCs/>
          <w:noProof/>
        </w:rPr>
        <w:t>10</w:t>
      </w:r>
      <w:r w:rsidRPr="000860B8">
        <w:rPr>
          <w:rFonts w:ascii="Arial" w:hAnsi="Arial" w:cs="Arial"/>
          <w:noProof/>
        </w:rPr>
        <w:t>(2), 94–106. https://doi.org/10.26740/akunesa.v10n2.p94-106</w:t>
      </w:r>
    </w:p>
    <w:p w14:paraId="26F9ADAC"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Sriyono, S., &amp; Anggraeni, D. F. (2021). Implikasi Variabel Fundamental Keuangan terhadap Manajemen Laba: Mampukah Corporate Social Responsibility sebagai Variabel Intervening. </w:t>
      </w:r>
      <w:r w:rsidRPr="000860B8">
        <w:rPr>
          <w:rFonts w:ascii="Arial" w:hAnsi="Arial" w:cs="Arial"/>
          <w:i/>
          <w:iCs/>
          <w:noProof/>
        </w:rPr>
        <w:t>Jurnal Ekonomi Modernisasi</w:t>
      </w:r>
      <w:r w:rsidRPr="000860B8">
        <w:rPr>
          <w:rFonts w:ascii="Arial" w:hAnsi="Arial" w:cs="Arial"/>
          <w:noProof/>
        </w:rPr>
        <w:t xml:space="preserve">, </w:t>
      </w:r>
      <w:r w:rsidRPr="000860B8">
        <w:rPr>
          <w:rFonts w:ascii="Arial" w:hAnsi="Arial" w:cs="Arial"/>
          <w:i/>
          <w:iCs/>
          <w:noProof/>
        </w:rPr>
        <w:t>17</w:t>
      </w:r>
      <w:r w:rsidRPr="000860B8">
        <w:rPr>
          <w:rFonts w:ascii="Arial" w:hAnsi="Arial" w:cs="Arial"/>
          <w:noProof/>
        </w:rPr>
        <w:t>(1), 41–53. https://doi.org/10.21067/jem.v17i1.5207</w:t>
      </w:r>
    </w:p>
    <w:p w14:paraId="5388592E"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Sugiyono, S. (2018). </w:t>
      </w:r>
      <w:r w:rsidRPr="000860B8">
        <w:rPr>
          <w:rFonts w:ascii="Arial" w:hAnsi="Arial" w:cs="Arial"/>
          <w:i/>
          <w:iCs/>
          <w:noProof/>
        </w:rPr>
        <w:t>Metode Penelitian Bisnis</w:t>
      </w:r>
      <w:r w:rsidRPr="000860B8">
        <w:rPr>
          <w:rFonts w:ascii="Arial" w:hAnsi="Arial" w:cs="Arial"/>
          <w:noProof/>
        </w:rPr>
        <w:t>.</w:t>
      </w:r>
    </w:p>
    <w:p w14:paraId="30D20E4E" w14:textId="77777777" w:rsidR="00AD5DA0" w:rsidRPr="000860B8" w:rsidRDefault="00AD5DA0" w:rsidP="000860B8">
      <w:pPr>
        <w:adjustRightInd w:val="0"/>
        <w:ind w:left="480" w:hanging="480"/>
        <w:jc w:val="both"/>
        <w:rPr>
          <w:rFonts w:ascii="Arial" w:hAnsi="Arial" w:cs="Arial"/>
          <w:noProof/>
        </w:rPr>
      </w:pPr>
      <w:r w:rsidRPr="000860B8">
        <w:rPr>
          <w:rFonts w:ascii="Arial" w:hAnsi="Arial" w:cs="Arial"/>
          <w:noProof/>
        </w:rPr>
        <w:t xml:space="preserve">Warislan, P., Putra, W. E., &amp; Tiswiyanti, W. (2018). Pengaruh Konservatisme Akuntansi dan Pengungkapan Corporate Social Responsibility (CSR) terhadap Manajemen Laba (Studi Empiris pada Perusahaan Pertambangan yang Terdaftar di Bursa Efek Indonesia Periode 2015-2017). </w:t>
      </w:r>
      <w:r w:rsidRPr="000860B8">
        <w:rPr>
          <w:rFonts w:ascii="Arial" w:hAnsi="Arial" w:cs="Arial"/>
          <w:i/>
          <w:iCs/>
          <w:noProof/>
        </w:rPr>
        <w:t>Jurnal Akuntansi Dan Auditing</w:t>
      </w:r>
      <w:r w:rsidRPr="000860B8">
        <w:rPr>
          <w:rFonts w:ascii="Arial" w:hAnsi="Arial" w:cs="Arial"/>
          <w:noProof/>
        </w:rPr>
        <w:t xml:space="preserve">, </w:t>
      </w:r>
      <w:r w:rsidRPr="000860B8">
        <w:rPr>
          <w:rFonts w:ascii="Arial" w:hAnsi="Arial" w:cs="Arial"/>
          <w:i/>
          <w:iCs/>
          <w:noProof/>
        </w:rPr>
        <w:t>15</w:t>
      </w:r>
      <w:r w:rsidRPr="000860B8">
        <w:rPr>
          <w:rFonts w:ascii="Arial" w:hAnsi="Arial" w:cs="Arial"/>
          <w:noProof/>
        </w:rPr>
        <w:t>(2), 221–243. https://www.fairportlibrary.org/images/files/RenovationProject/Concept_cost_estimate_accepted_031914.pdf</w:t>
      </w:r>
    </w:p>
    <w:p w14:paraId="21190ED5" w14:textId="77777777" w:rsidR="00AD5DA0" w:rsidRPr="000860B8" w:rsidRDefault="00AD5DA0" w:rsidP="000860B8">
      <w:pPr>
        <w:adjustRightInd w:val="0"/>
        <w:ind w:left="480" w:hanging="480"/>
        <w:jc w:val="both"/>
        <w:rPr>
          <w:rFonts w:ascii="Arial" w:hAnsi="Arial" w:cs="Arial"/>
          <w:noProof/>
        </w:rPr>
      </w:pPr>
    </w:p>
    <w:p w14:paraId="0B03A2C4" w14:textId="77777777" w:rsidR="00AD5DA0" w:rsidRPr="000860B8" w:rsidRDefault="00AD5DA0" w:rsidP="000860B8">
      <w:pPr>
        <w:adjustRightInd w:val="0"/>
        <w:ind w:left="480" w:hanging="480"/>
        <w:jc w:val="both"/>
        <w:rPr>
          <w:rFonts w:ascii="Arial" w:hAnsi="Arial" w:cs="Arial"/>
          <w:noProof/>
        </w:rPr>
      </w:pPr>
    </w:p>
    <w:p w14:paraId="68CF350E" w14:textId="77777777" w:rsidR="00AD5DA0" w:rsidRPr="000860B8" w:rsidRDefault="00AD5DA0" w:rsidP="000860B8">
      <w:pPr>
        <w:adjustRightInd w:val="0"/>
        <w:ind w:left="480" w:hanging="480"/>
        <w:jc w:val="both"/>
        <w:rPr>
          <w:rFonts w:ascii="Arial" w:hAnsi="Arial" w:cs="Arial"/>
          <w:noProof/>
        </w:rPr>
      </w:pPr>
    </w:p>
    <w:p w14:paraId="3BE6D729" w14:textId="77777777" w:rsidR="00AD5DA0" w:rsidRPr="000860B8" w:rsidRDefault="00AD5DA0" w:rsidP="000860B8">
      <w:pPr>
        <w:adjustRightInd w:val="0"/>
        <w:ind w:left="480" w:hanging="480"/>
        <w:jc w:val="both"/>
        <w:rPr>
          <w:rFonts w:ascii="Arial" w:hAnsi="Arial" w:cs="Arial"/>
          <w:noProof/>
        </w:rPr>
      </w:pPr>
    </w:p>
    <w:p w14:paraId="56DA9D9C" w14:textId="7033508C" w:rsidR="00765AD5" w:rsidRPr="000860B8" w:rsidRDefault="00AD5DA0" w:rsidP="000860B8">
      <w:pPr>
        <w:pStyle w:val="NormalWeb"/>
        <w:shd w:val="clear" w:color="auto" w:fill="FFFFFF"/>
        <w:spacing w:before="0" w:beforeAutospacing="0" w:after="0" w:afterAutospacing="0"/>
        <w:jc w:val="both"/>
        <w:rPr>
          <w:rFonts w:ascii="Arial" w:hAnsi="Arial" w:cs="Arial"/>
          <w:sz w:val="22"/>
          <w:szCs w:val="22"/>
        </w:rPr>
      </w:pPr>
      <w:r w:rsidRPr="000860B8">
        <w:rPr>
          <w:rFonts w:ascii="Arial" w:hAnsi="Arial" w:cs="Arial"/>
          <w:sz w:val="22"/>
          <w:szCs w:val="22"/>
        </w:rPr>
        <w:fldChar w:fldCharType="end"/>
      </w:r>
    </w:p>
    <w:sectPr w:rsidR="00765AD5" w:rsidRPr="000860B8" w:rsidSect="000860B8">
      <w:headerReference w:type="default" r:id="rId9"/>
      <w:footerReference w:type="default" r:id="rId10"/>
      <w:pgSz w:w="11910" w:h="16840"/>
      <w:pgMar w:top="3232" w:right="1701" w:bottom="1985" w:left="1701" w:header="697" w:footer="1667" w:gutter="0"/>
      <w:pgNumType w:start="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888D9" w14:textId="77777777" w:rsidR="00B31251" w:rsidRDefault="00B31251">
      <w:r>
        <w:separator/>
      </w:r>
    </w:p>
  </w:endnote>
  <w:endnote w:type="continuationSeparator" w:id="0">
    <w:p w14:paraId="2EB86D54" w14:textId="77777777" w:rsidR="00B31251" w:rsidRDefault="00B31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3741" w14:textId="31D6C335" w:rsidR="00D05FB1" w:rsidRDefault="000860B8">
    <w:pPr>
      <w:pStyle w:val="BodyText"/>
      <w:spacing w:line="14" w:lineRule="auto"/>
      <w:ind w:left="0"/>
      <w:rPr>
        <w:sz w:val="20"/>
      </w:rPr>
    </w:pPr>
    <w:r>
      <w:rPr>
        <w:noProof/>
      </w:rPr>
      <mc:AlternateContent>
        <mc:Choice Requires="wps">
          <w:drawing>
            <wp:anchor distT="0" distB="0" distL="114300" distR="114300" simplePos="0" relativeHeight="251664384" behindDoc="1" locked="0" layoutInCell="1" allowOverlap="1" wp14:anchorId="553F8AB0" wp14:editId="6B506289">
              <wp:simplePos x="0" y="0"/>
              <wp:positionH relativeFrom="page">
                <wp:posOffset>6373422</wp:posOffset>
              </wp:positionH>
              <wp:positionV relativeFrom="page">
                <wp:posOffset>9790103</wp:posOffset>
              </wp:positionV>
              <wp:extent cx="243657" cy="167640"/>
              <wp:effectExtent l="0" t="0" r="4445"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657"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B7DB2" w14:textId="77777777" w:rsidR="00D05FB1" w:rsidRDefault="00E53A94">
                          <w:pPr>
                            <w:spacing w:before="13"/>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F8AB0" id="_x0000_t202" coordsize="21600,21600" o:spt="202" path="m,l,21600r21600,l21600,xe">
              <v:stroke joinstyle="miter"/>
              <v:path gradientshapeok="t" o:connecttype="rect"/>
            </v:shapetype>
            <v:shape id="Text Box 8" o:spid="_x0000_s1027" type="#_x0000_t202" style="position:absolute;margin-left:501.85pt;margin-top:770.85pt;width:19.2pt;height:1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" filled="f" stroked="f">
              <v:textbox inset="0,0,0,0">
                <w:txbxContent>
                  <w:p w14:paraId="19AB7DB2" w14:textId="77777777" w:rsidR="00D05FB1" w:rsidRDefault="00000000">
                    <w:pPr>
                      <w:spacing w:before="13"/>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549DD41" wp14:editId="1A44993D">
              <wp:simplePos x="0" y="0"/>
              <wp:positionH relativeFrom="page">
                <wp:posOffset>1212112</wp:posOffset>
              </wp:positionH>
              <wp:positionV relativeFrom="page">
                <wp:posOffset>9494874</wp:posOffset>
              </wp:positionV>
              <wp:extent cx="5113699" cy="314960"/>
              <wp:effectExtent l="0" t="0" r="10795"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699"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B5232" w14:textId="414F196F" w:rsidR="00D05FB1" w:rsidRDefault="00E53A94">
                          <w:pPr>
                            <w:spacing w:before="13"/>
                            <w:ind w:left="6" w:right="7"/>
                            <w:jc w:val="center"/>
                            <w:rPr>
                              <w:sz w:val="20"/>
                            </w:rPr>
                          </w:pPr>
                          <w:r>
                            <w:rPr>
                              <w:sz w:val="20"/>
                            </w:rPr>
                            <w:t>Submitted:</w:t>
                          </w:r>
                          <w:r w:rsidR="000860B8">
                            <w:rPr>
                              <w:sz w:val="20"/>
                              <w:lang w:val="en-US"/>
                            </w:rPr>
                            <w:t>April 12, 2023</w:t>
                          </w:r>
                          <w:r>
                            <w:rPr>
                              <w:sz w:val="20"/>
                            </w:rPr>
                            <w:t>;</w:t>
                          </w:r>
                          <w:r>
                            <w:rPr>
                              <w:spacing w:val="-2"/>
                              <w:sz w:val="20"/>
                            </w:rPr>
                            <w:t xml:space="preserve"> </w:t>
                          </w:r>
                          <w:r>
                            <w:rPr>
                              <w:sz w:val="20"/>
                            </w:rPr>
                            <w:t>Accepted</w:t>
                          </w:r>
                          <w:r w:rsidR="000860B8">
                            <w:rPr>
                              <w:sz w:val="20"/>
                              <w:lang w:val="en-US"/>
                            </w:rPr>
                            <w:t>: April 26, 2023</w:t>
                          </w:r>
                          <w:r>
                            <w:rPr>
                              <w:sz w:val="20"/>
                            </w:rPr>
                            <w:t>;</w:t>
                          </w:r>
                        </w:p>
                        <w:p w14:paraId="336D490B" w14:textId="209276D5" w:rsidR="00D05FB1" w:rsidRDefault="00E53A94">
                          <w:pPr>
                            <w:spacing w:before="2"/>
                            <w:ind w:left="7" w:right="7"/>
                            <w:jc w:val="center"/>
                            <w:rPr>
                              <w:sz w:val="20"/>
                            </w:rPr>
                          </w:pPr>
                          <w:r>
                            <w:rPr>
                              <w:sz w:val="20"/>
                            </w:rPr>
                            <w:t>Published:</w:t>
                          </w:r>
                          <w:r w:rsidR="000860B8">
                            <w:rPr>
                              <w:sz w:val="20"/>
                              <w:lang w:val="en-US"/>
                            </w:rPr>
                            <w:t xml:space="preserve"> April </w:t>
                          </w:r>
                          <w:r w:rsidR="000A6F4C">
                            <w:rPr>
                              <w:sz w:val="20"/>
                              <w:lang w:val="en-US"/>
                            </w:rPr>
                            <w:t>30</w:t>
                          </w:r>
                          <w:r w:rsidR="000860B8">
                            <w:rPr>
                              <w:sz w:val="20"/>
                              <w:lang w:val="en-US"/>
                            </w:rPr>
                            <w:t>, 2023</w:t>
                          </w:r>
                          <w:r>
                            <w:rPr>
                              <w:sz w:val="20"/>
                            </w:rPr>
                            <w:t>;</w:t>
                          </w:r>
                          <w:r>
                            <w:rPr>
                              <w:spacing w:val="-4"/>
                              <w:sz w:val="20"/>
                            </w:rPr>
                            <w:t xml:space="preserve"> </w:t>
                          </w:r>
                          <w:r>
                            <w:rPr>
                              <w:sz w:val="20"/>
                            </w:rPr>
                            <w:t>Website:</w:t>
                          </w:r>
                          <w:r>
                            <w:rPr>
                              <w:spacing w:val="-7"/>
                              <w:sz w:val="20"/>
                            </w:rPr>
                            <w:t xml:space="preserve"> </w:t>
                          </w:r>
                          <w:hyperlink r:id="rId1">
                            <w:r>
                              <w:rPr>
                                <w:sz w:val="20"/>
                              </w:rPr>
                              <w:t>http://journalfeb.unla.ac.id/index.php/jasa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9DD41" id="_x0000_t202" coordsize="21600,21600" o:spt="202" path="m,l,21600r21600,l21600,xe">
              <v:stroke joinstyle="miter"/>
              <v:path gradientshapeok="t" o:connecttype="rect"/>
            </v:shapetype>
            <v:shape id="Text Box 9" o:spid="_x0000_s1028" type="#_x0000_t202" style="position:absolute;margin-left:95.45pt;margin-top:747.65pt;width:402.65pt;height:24.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" filled="f" stroked="f">
              <v:textbox inset="0,0,0,0">
                <w:txbxContent>
                  <w:p w14:paraId="7D5B5232" w14:textId="414F196F" w:rsidR="00D05FB1" w:rsidRDefault="00E53A94">
                    <w:pPr>
                      <w:spacing w:before="13"/>
                      <w:ind w:left="6" w:right="7"/>
                      <w:jc w:val="center"/>
                      <w:rPr>
                        <w:sz w:val="20"/>
                      </w:rPr>
                    </w:pPr>
                    <w:r>
                      <w:rPr>
                        <w:sz w:val="20"/>
                      </w:rPr>
                      <w:t>Submitted:</w:t>
                    </w:r>
                    <w:r w:rsidR="000860B8">
                      <w:rPr>
                        <w:sz w:val="20"/>
                        <w:lang w:val="en-US"/>
                      </w:rPr>
                      <w:t>April 12, 2023</w:t>
                    </w:r>
                    <w:r>
                      <w:rPr>
                        <w:sz w:val="20"/>
                      </w:rPr>
                      <w:t>;</w:t>
                    </w:r>
                    <w:r>
                      <w:rPr>
                        <w:spacing w:val="-2"/>
                        <w:sz w:val="20"/>
                      </w:rPr>
                      <w:t xml:space="preserve"> </w:t>
                    </w:r>
                    <w:r>
                      <w:rPr>
                        <w:sz w:val="20"/>
                      </w:rPr>
                      <w:t>Accepted</w:t>
                    </w:r>
                    <w:r w:rsidR="000860B8">
                      <w:rPr>
                        <w:sz w:val="20"/>
                        <w:lang w:val="en-US"/>
                      </w:rPr>
                      <w:t>: April 26, 2023</w:t>
                    </w:r>
                    <w:r>
                      <w:rPr>
                        <w:sz w:val="20"/>
                      </w:rPr>
                      <w:t>;</w:t>
                    </w:r>
                  </w:p>
                  <w:p w14:paraId="336D490B" w14:textId="209276D5" w:rsidR="00D05FB1" w:rsidRDefault="00E53A94">
                    <w:pPr>
                      <w:spacing w:before="2"/>
                      <w:ind w:left="7" w:right="7"/>
                      <w:jc w:val="center"/>
                      <w:rPr>
                        <w:sz w:val="20"/>
                      </w:rPr>
                    </w:pPr>
                    <w:r>
                      <w:rPr>
                        <w:sz w:val="20"/>
                      </w:rPr>
                      <w:t>Published:</w:t>
                    </w:r>
                    <w:r w:rsidR="000860B8">
                      <w:rPr>
                        <w:sz w:val="20"/>
                        <w:lang w:val="en-US"/>
                      </w:rPr>
                      <w:t xml:space="preserve"> April </w:t>
                    </w:r>
                    <w:r w:rsidR="000A6F4C">
                      <w:rPr>
                        <w:sz w:val="20"/>
                        <w:lang w:val="en-US"/>
                      </w:rPr>
                      <w:t>30</w:t>
                    </w:r>
                    <w:r w:rsidR="000860B8">
                      <w:rPr>
                        <w:sz w:val="20"/>
                        <w:lang w:val="en-US"/>
                      </w:rPr>
                      <w:t>, 2023</w:t>
                    </w:r>
                    <w:r>
                      <w:rPr>
                        <w:sz w:val="20"/>
                      </w:rPr>
                      <w:t>;</w:t>
                    </w:r>
                    <w:r>
                      <w:rPr>
                        <w:spacing w:val="-4"/>
                        <w:sz w:val="20"/>
                      </w:rPr>
                      <w:t xml:space="preserve"> </w:t>
                    </w:r>
                    <w:r>
                      <w:rPr>
                        <w:sz w:val="20"/>
                      </w:rPr>
                      <w:t>Website:</w:t>
                    </w:r>
                    <w:r>
                      <w:rPr>
                        <w:spacing w:val="-7"/>
                        <w:sz w:val="20"/>
                      </w:rPr>
                      <w:t xml:space="preserve"> </w:t>
                    </w:r>
                    <w:hyperlink r:id="rId2">
                      <w:r>
                        <w:rPr>
                          <w:sz w:val="20"/>
                        </w:rPr>
                        <w:t>http://journalfeb.unla.ac.id/index.php/jasa</w:t>
                      </w:r>
                    </w:hyperlink>
                  </w:p>
                </w:txbxContent>
              </v:textbox>
              <w10:wrap anchorx="page" anchory="page"/>
            </v:shape>
          </w:pict>
        </mc:Fallback>
      </mc:AlternateContent>
    </w:r>
    <w:r w:rsidR="00A437B1">
      <w:rPr>
        <w:noProof/>
      </w:rPr>
      <mc:AlternateContent>
        <mc:Choice Requires="wps">
          <w:drawing>
            <wp:anchor distT="0" distB="0" distL="114300" distR="114300" simplePos="0" relativeHeight="251662336" behindDoc="1" locked="0" layoutInCell="1" allowOverlap="1" wp14:anchorId="2D644663" wp14:editId="3F75046F">
              <wp:simplePos x="0" y="0"/>
              <wp:positionH relativeFrom="page">
                <wp:posOffset>1075690</wp:posOffset>
              </wp:positionH>
              <wp:positionV relativeFrom="page">
                <wp:posOffset>9472295</wp:posOffset>
              </wp:positionV>
              <wp:extent cx="5390515" cy="0"/>
              <wp:effectExtent l="18415" t="23495" r="20320" b="1460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D70DF" id="Straight Connector 1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7pt,745.85pt" to="509.15pt,7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" strokeweight="2.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77603" w14:textId="77777777" w:rsidR="00B31251" w:rsidRDefault="00B31251">
      <w:r>
        <w:separator/>
      </w:r>
    </w:p>
  </w:footnote>
  <w:footnote w:type="continuationSeparator" w:id="0">
    <w:p w14:paraId="6D68E58F" w14:textId="77777777" w:rsidR="00B31251" w:rsidRDefault="00B31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DEC3" w14:textId="77777777" w:rsidR="00D05FB1" w:rsidRDefault="00E53A94">
    <w:pPr>
      <w:pStyle w:val="BodyText"/>
      <w:spacing w:line="14" w:lineRule="auto"/>
      <w:ind w:left="0"/>
      <w:rPr>
        <w:sz w:val="20"/>
      </w:rPr>
    </w:pPr>
    <w:r>
      <w:rPr>
        <w:noProof/>
      </w:rPr>
      <w:drawing>
        <wp:anchor distT="0" distB="0" distL="0" distR="0" simplePos="0" relativeHeight="251659264" behindDoc="1" locked="0" layoutInCell="1" allowOverlap="1" wp14:anchorId="493B5CEB" wp14:editId="05688934">
          <wp:simplePos x="0" y="0"/>
          <wp:positionH relativeFrom="page">
            <wp:posOffset>2967354</wp:posOffset>
          </wp:positionH>
          <wp:positionV relativeFrom="page">
            <wp:posOffset>441034</wp:posOffset>
          </wp:positionV>
          <wp:extent cx="1631938" cy="7512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1938" cy="751215"/>
                  </a:xfrm>
                  <a:prstGeom prst="rect">
                    <a:avLst/>
                  </a:prstGeom>
                </pic:spPr>
              </pic:pic>
            </a:graphicData>
          </a:graphic>
        </wp:anchor>
      </w:drawing>
    </w:r>
    <w:r w:rsidR="00A437B1">
      <w:rPr>
        <w:noProof/>
      </w:rPr>
      <mc:AlternateContent>
        <mc:Choice Requires="wps">
          <w:drawing>
            <wp:anchor distT="0" distB="0" distL="114300" distR="114300" simplePos="0" relativeHeight="251660288" behindDoc="1" locked="0" layoutInCell="1" allowOverlap="1" wp14:anchorId="44DDFA8A" wp14:editId="12E1661D">
              <wp:simplePos x="0" y="0"/>
              <wp:positionH relativeFrom="page">
                <wp:posOffset>1078865</wp:posOffset>
              </wp:positionH>
              <wp:positionV relativeFrom="page">
                <wp:posOffset>1994535</wp:posOffset>
              </wp:positionV>
              <wp:extent cx="5584825" cy="50800"/>
              <wp:effectExtent l="2540" t="3810" r="3810" b="2540"/>
              <wp:wrapNone/>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4825" cy="50800"/>
                      </a:xfrm>
                      <a:custGeom>
                        <a:avLst/>
                        <a:gdLst>
                          <a:gd name="T0" fmla="+- 0 1731 1699"/>
                          <a:gd name="T1" fmla="*/ T0 w 8795"/>
                          <a:gd name="T2" fmla="+- 0 3156 3141"/>
                          <a:gd name="T3" fmla="*/ 3156 h 80"/>
                          <a:gd name="T4" fmla="+- 0 1718 1699"/>
                          <a:gd name="T5" fmla="*/ T4 w 8795"/>
                          <a:gd name="T6" fmla="+- 0 3158 3141"/>
                          <a:gd name="T7" fmla="*/ 3158 h 80"/>
                          <a:gd name="T8" fmla="+- 0 1708 1699"/>
                          <a:gd name="T9" fmla="*/ T8 w 8795"/>
                          <a:gd name="T10" fmla="+- 0 3165 3141"/>
                          <a:gd name="T11" fmla="*/ 3165 h 80"/>
                          <a:gd name="T12" fmla="+- 0 1701 1699"/>
                          <a:gd name="T13" fmla="*/ T12 w 8795"/>
                          <a:gd name="T14" fmla="+- 0 3176 3141"/>
                          <a:gd name="T15" fmla="*/ 3176 h 80"/>
                          <a:gd name="T16" fmla="+- 0 1699 1699"/>
                          <a:gd name="T17" fmla="*/ T16 w 8795"/>
                          <a:gd name="T18" fmla="+- 0 3188 3141"/>
                          <a:gd name="T19" fmla="*/ 3188 h 80"/>
                          <a:gd name="T20" fmla="+- 0 1701 1699"/>
                          <a:gd name="T21" fmla="*/ T20 w 8795"/>
                          <a:gd name="T22" fmla="+- 0 3201 3141"/>
                          <a:gd name="T23" fmla="*/ 3201 h 80"/>
                          <a:gd name="T24" fmla="+- 0 1708 1699"/>
                          <a:gd name="T25" fmla="*/ T24 w 8795"/>
                          <a:gd name="T26" fmla="+- 0 3211 3141"/>
                          <a:gd name="T27" fmla="*/ 3211 h 80"/>
                          <a:gd name="T28" fmla="+- 0 1718 1699"/>
                          <a:gd name="T29" fmla="*/ T28 w 8795"/>
                          <a:gd name="T30" fmla="+- 0 3218 3141"/>
                          <a:gd name="T31" fmla="*/ 3218 h 80"/>
                          <a:gd name="T32" fmla="+- 0 1731 1699"/>
                          <a:gd name="T33" fmla="*/ T32 w 8795"/>
                          <a:gd name="T34" fmla="+- 0 3221 3141"/>
                          <a:gd name="T35" fmla="*/ 3221 h 80"/>
                          <a:gd name="T36" fmla="+- 0 1731 1699"/>
                          <a:gd name="T37" fmla="*/ T36 w 8795"/>
                          <a:gd name="T38" fmla="+- 0 3156 3141"/>
                          <a:gd name="T39" fmla="*/ 3156 h 80"/>
                          <a:gd name="T40" fmla="+- 0 10461 1699"/>
                          <a:gd name="T41" fmla="*/ T40 w 8795"/>
                          <a:gd name="T42" fmla="+- 0 3167 3141"/>
                          <a:gd name="T43" fmla="*/ 3167 h 80"/>
                          <a:gd name="T44" fmla="+- 0 1731 1699"/>
                          <a:gd name="T45" fmla="*/ T44 w 8795"/>
                          <a:gd name="T46" fmla="+- 0 3182 3141"/>
                          <a:gd name="T47" fmla="*/ 3182 h 80"/>
                          <a:gd name="T48" fmla="+- 0 1731 1699"/>
                          <a:gd name="T49" fmla="*/ T48 w 8795"/>
                          <a:gd name="T50" fmla="+- 0 3221 3141"/>
                          <a:gd name="T51" fmla="*/ 3221 h 80"/>
                          <a:gd name="T52" fmla="+- 0 10461 1699"/>
                          <a:gd name="T53" fmla="*/ T52 w 8795"/>
                          <a:gd name="T54" fmla="+- 0 3206 3141"/>
                          <a:gd name="T55" fmla="*/ 3206 h 80"/>
                          <a:gd name="T56" fmla="+- 0 10461 1699"/>
                          <a:gd name="T57" fmla="*/ T56 w 8795"/>
                          <a:gd name="T58" fmla="+- 0 3167 3141"/>
                          <a:gd name="T59" fmla="*/ 3167 h 80"/>
                          <a:gd name="T60" fmla="+- 0 10461 1699"/>
                          <a:gd name="T61" fmla="*/ T60 w 8795"/>
                          <a:gd name="T62" fmla="+- 0 3141 3141"/>
                          <a:gd name="T63" fmla="*/ 3141 h 80"/>
                          <a:gd name="T64" fmla="+- 0 10461 1699"/>
                          <a:gd name="T65" fmla="*/ T64 w 8795"/>
                          <a:gd name="T66" fmla="+- 0 3206 3141"/>
                          <a:gd name="T67" fmla="*/ 3206 h 80"/>
                          <a:gd name="T68" fmla="+- 0 10474 1699"/>
                          <a:gd name="T69" fmla="*/ T68 w 8795"/>
                          <a:gd name="T70" fmla="+- 0 3203 3141"/>
                          <a:gd name="T71" fmla="*/ 3203 h 80"/>
                          <a:gd name="T72" fmla="+- 0 10484 1699"/>
                          <a:gd name="T73" fmla="*/ T72 w 8795"/>
                          <a:gd name="T74" fmla="+- 0 3196 3141"/>
                          <a:gd name="T75" fmla="*/ 3196 h 80"/>
                          <a:gd name="T76" fmla="+- 0 10491 1699"/>
                          <a:gd name="T77" fmla="*/ T76 w 8795"/>
                          <a:gd name="T78" fmla="+- 0 3186 3141"/>
                          <a:gd name="T79" fmla="*/ 3186 h 80"/>
                          <a:gd name="T80" fmla="+- 0 10493 1699"/>
                          <a:gd name="T81" fmla="*/ T80 w 8795"/>
                          <a:gd name="T82" fmla="+- 0 3173 3141"/>
                          <a:gd name="T83" fmla="*/ 3173 h 80"/>
                          <a:gd name="T84" fmla="+- 0 10491 1699"/>
                          <a:gd name="T85" fmla="*/ T84 w 8795"/>
                          <a:gd name="T86" fmla="+- 0 3161 3141"/>
                          <a:gd name="T87" fmla="*/ 3161 h 80"/>
                          <a:gd name="T88" fmla="+- 0 10484 1699"/>
                          <a:gd name="T89" fmla="*/ T88 w 8795"/>
                          <a:gd name="T90" fmla="+- 0 3150 3141"/>
                          <a:gd name="T91" fmla="*/ 3150 h 80"/>
                          <a:gd name="T92" fmla="+- 0 10474 1699"/>
                          <a:gd name="T93" fmla="*/ T92 w 8795"/>
                          <a:gd name="T94" fmla="+- 0 3143 3141"/>
                          <a:gd name="T95" fmla="*/ 3143 h 80"/>
                          <a:gd name="T96" fmla="+- 0 10461 1699"/>
                          <a:gd name="T97" fmla="*/ T96 w 8795"/>
                          <a:gd name="T98" fmla="+- 0 3141 3141"/>
                          <a:gd name="T99" fmla="*/ 3141 h 80"/>
                          <a:gd name="T100" fmla="+- 0 1731 1699"/>
                          <a:gd name="T101" fmla="*/ T100 w 8795"/>
                          <a:gd name="T102" fmla="+- 0 3169 3141"/>
                          <a:gd name="T103" fmla="*/ 3169 h 80"/>
                          <a:gd name="T104" fmla="+- 0 1731 1699"/>
                          <a:gd name="T105" fmla="*/ T104 w 8795"/>
                          <a:gd name="T106" fmla="+- 0 3169 3141"/>
                          <a:gd name="T107" fmla="*/ 3169 h 80"/>
                          <a:gd name="T108" fmla="+- 0 1731 1699"/>
                          <a:gd name="T109" fmla="*/ T108 w 8795"/>
                          <a:gd name="T110" fmla="+- 0 3169 3141"/>
                          <a:gd name="T111" fmla="*/ 3169 h 80"/>
                          <a:gd name="T112" fmla="+- 0 1731 1699"/>
                          <a:gd name="T113" fmla="*/ T112 w 8795"/>
                          <a:gd name="T114" fmla="+- 0 3169 3141"/>
                          <a:gd name="T115" fmla="*/ 3169 h 80"/>
                          <a:gd name="T116" fmla="+- 0 10461 1699"/>
                          <a:gd name="T117" fmla="*/ T116 w 8795"/>
                          <a:gd name="T118" fmla="+- 0 3141 3141"/>
                          <a:gd name="T119" fmla="*/ 3141 h 80"/>
                          <a:gd name="T120" fmla="+- 0 1731 1699"/>
                          <a:gd name="T121" fmla="*/ T120 w 8795"/>
                          <a:gd name="T122" fmla="+- 0 3156 3141"/>
                          <a:gd name="T123" fmla="*/ 3156 h 80"/>
                          <a:gd name="T124" fmla="+- 0 1731 1699"/>
                          <a:gd name="T125" fmla="*/ T124 w 8795"/>
                          <a:gd name="T126" fmla="+- 0 3169 3141"/>
                          <a:gd name="T127" fmla="*/ 3169 h 80"/>
                          <a:gd name="T128" fmla="+- 0 10461 1699"/>
                          <a:gd name="T129" fmla="*/ T128 w 8795"/>
                          <a:gd name="T130" fmla="+- 0 3154 3141"/>
                          <a:gd name="T131" fmla="*/ 3154 h 80"/>
                          <a:gd name="T132" fmla="+- 0 10461 1699"/>
                          <a:gd name="T133" fmla="*/ T132 w 8795"/>
                          <a:gd name="T134" fmla="+- 0 3141 3141"/>
                          <a:gd name="T135" fmla="*/ 3141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795" h="80">
                            <a:moveTo>
                              <a:pt x="32" y="15"/>
                            </a:moveTo>
                            <a:lnTo>
                              <a:pt x="19" y="17"/>
                            </a:lnTo>
                            <a:lnTo>
                              <a:pt x="9" y="24"/>
                            </a:lnTo>
                            <a:lnTo>
                              <a:pt x="2" y="35"/>
                            </a:lnTo>
                            <a:lnTo>
                              <a:pt x="0" y="47"/>
                            </a:lnTo>
                            <a:lnTo>
                              <a:pt x="2" y="60"/>
                            </a:lnTo>
                            <a:lnTo>
                              <a:pt x="9" y="70"/>
                            </a:lnTo>
                            <a:lnTo>
                              <a:pt x="19" y="77"/>
                            </a:lnTo>
                            <a:lnTo>
                              <a:pt x="32" y="80"/>
                            </a:lnTo>
                            <a:lnTo>
                              <a:pt x="32" y="15"/>
                            </a:lnTo>
                            <a:close/>
                            <a:moveTo>
                              <a:pt x="8762" y="26"/>
                            </a:moveTo>
                            <a:lnTo>
                              <a:pt x="32" y="41"/>
                            </a:lnTo>
                            <a:lnTo>
                              <a:pt x="32" y="80"/>
                            </a:lnTo>
                            <a:lnTo>
                              <a:pt x="8762" y="65"/>
                            </a:lnTo>
                            <a:lnTo>
                              <a:pt x="8762" y="26"/>
                            </a:lnTo>
                            <a:close/>
                            <a:moveTo>
                              <a:pt x="8762" y="0"/>
                            </a:moveTo>
                            <a:lnTo>
                              <a:pt x="8762" y="65"/>
                            </a:lnTo>
                            <a:lnTo>
                              <a:pt x="8775" y="62"/>
                            </a:lnTo>
                            <a:lnTo>
                              <a:pt x="8785" y="55"/>
                            </a:lnTo>
                            <a:lnTo>
                              <a:pt x="8792" y="45"/>
                            </a:lnTo>
                            <a:lnTo>
                              <a:pt x="8794" y="32"/>
                            </a:lnTo>
                            <a:lnTo>
                              <a:pt x="8792" y="20"/>
                            </a:lnTo>
                            <a:lnTo>
                              <a:pt x="8785" y="9"/>
                            </a:lnTo>
                            <a:lnTo>
                              <a:pt x="8775" y="2"/>
                            </a:lnTo>
                            <a:lnTo>
                              <a:pt x="8762" y="0"/>
                            </a:lnTo>
                            <a:close/>
                            <a:moveTo>
                              <a:pt x="32" y="28"/>
                            </a:moveTo>
                            <a:lnTo>
                              <a:pt x="32" y="28"/>
                            </a:lnTo>
                            <a:close/>
                            <a:moveTo>
                              <a:pt x="8762" y="0"/>
                            </a:moveTo>
                            <a:lnTo>
                              <a:pt x="32" y="15"/>
                            </a:lnTo>
                            <a:lnTo>
                              <a:pt x="32" y="28"/>
                            </a:lnTo>
                            <a:lnTo>
                              <a:pt x="8762" y="13"/>
                            </a:lnTo>
                            <a:lnTo>
                              <a:pt x="8762"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F3F75" id="Freeform: Shape 12" o:spid="_x0000_s1026" style="position:absolute;margin-left:84.95pt;margin-top:157.05pt;width:439.75pt;height: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" path="m32,15l19,17,9,24,2,35,,47,2,60,9,70r10,7l32,80r,-65xm8762,26l32,41r,39l8762,65r,-39xm8762,r,65l8775,62r10,-7l8792,45r2,-13l8792,20,8785,9,8775,2,8762,xm32,28r,xm8762,l32,15r,13l8762,13r,-13xe" fillcolor="#ffc000" stroked="f">
              <v:path arrowok="t" o:connecttype="custom" o:connectlocs="20320,2004060;12065,2005330;5715,2009775;1270,2016760;0,2024380;1270,2032635;5715,2038985;12065,2043430;20320,2045335;20320,2004060;5563870,2011045;20320,2020570;20320,2045335;5563870,2035810;5563870,2011045;5563870,1994535;5563870,2035810;5572125,2033905;5578475,2029460;5582920,2023110;5584190,2014855;5582920,2007235;5578475,2000250;5572125,1995805;5563870,1994535;20320,2012315;20320,2012315;20320,2012315;20320,2012315;5563870,1994535;20320,2004060;20320,2012315;5563870,2002790;5563870,1994535" o:connectangles="0,0,0,0,0,0,0,0,0,0,0,0,0,0,0,0,0,0,0,0,0,0,0,0,0,0,0,0,0,0,0,0,0,0"/>
              <w10:wrap anchorx="page" anchory="page"/>
            </v:shape>
          </w:pict>
        </mc:Fallback>
      </mc:AlternateContent>
    </w:r>
    <w:r w:rsidR="00A437B1">
      <w:rPr>
        <w:noProof/>
      </w:rPr>
      <mc:AlternateContent>
        <mc:Choice Requires="wps">
          <w:drawing>
            <wp:anchor distT="0" distB="0" distL="114300" distR="114300" simplePos="0" relativeHeight="251661312" behindDoc="1" locked="0" layoutInCell="1" allowOverlap="1" wp14:anchorId="6C17222D" wp14:editId="4E8708AA">
              <wp:simplePos x="0" y="0"/>
              <wp:positionH relativeFrom="page">
                <wp:posOffset>1852295</wp:posOffset>
              </wp:positionH>
              <wp:positionV relativeFrom="page">
                <wp:posOffset>1350645</wp:posOffset>
              </wp:positionV>
              <wp:extent cx="3856990" cy="604520"/>
              <wp:effectExtent l="4445"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99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56D43" w14:textId="77777777" w:rsidR="00D05FB1" w:rsidRDefault="00E53A94">
                          <w:pPr>
                            <w:spacing w:before="13" w:line="229" w:lineRule="exact"/>
                            <w:ind w:left="10" w:right="10"/>
                            <w:jc w:val="center"/>
                            <w:rPr>
                              <w:rFonts w:ascii="Arial"/>
                              <w:b/>
                              <w:sz w:val="20"/>
                            </w:rPr>
                          </w:pPr>
                          <w:r>
                            <w:rPr>
                              <w:rFonts w:ascii="Arial"/>
                              <w:b/>
                              <w:sz w:val="20"/>
                            </w:rPr>
                            <w:t>JASa</w:t>
                          </w:r>
                          <w:r>
                            <w:rPr>
                              <w:rFonts w:ascii="Arial"/>
                              <w:b/>
                              <w:spacing w:val="-3"/>
                              <w:sz w:val="20"/>
                            </w:rPr>
                            <w:t xml:space="preserve"> </w:t>
                          </w:r>
                          <w:r>
                            <w:rPr>
                              <w:rFonts w:ascii="Arial"/>
                              <w:b/>
                              <w:sz w:val="20"/>
                            </w:rPr>
                            <w:t>(Jurnal</w:t>
                          </w:r>
                          <w:r>
                            <w:rPr>
                              <w:rFonts w:ascii="Arial"/>
                              <w:b/>
                              <w:spacing w:val="-2"/>
                              <w:sz w:val="20"/>
                            </w:rPr>
                            <w:t xml:space="preserve"> </w:t>
                          </w:r>
                          <w:r>
                            <w:rPr>
                              <w:rFonts w:ascii="Arial"/>
                              <w:b/>
                              <w:sz w:val="20"/>
                            </w:rPr>
                            <w:t>Akuntansi,</w:t>
                          </w:r>
                          <w:r>
                            <w:rPr>
                              <w:rFonts w:ascii="Arial"/>
                              <w:b/>
                              <w:spacing w:val="-2"/>
                              <w:sz w:val="20"/>
                            </w:rPr>
                            <w:t xml:space="preserve"> </w:t>
                          </w:r>
                          <w:r>
                            <w:rPr>
                              <w:rFonts w:ascii="Arial"/>
                              <w:b/>
                              <w:sz w:val="20"/>
                            </w:rPr>
                            <w:t>Audit</w:t>
                          </w:r>
                          <w:r>
                            <w:rPr>
                              <w:rFonts w:ascii="Arial"/>
                              <w:b/>
                              <w:spacing w:val="-4"/>
                              <w:sz w:val="20"/>
                            </w:rPr>
                            <w:t xml:space="preserve"> </w:t>
                          </w:r>
                          <w:r>
                            <w:rPr>
                              <w:rFonts w:ascii="Arial"/>
                              <w:b/>
                              <w:sz w:val="20"/>
                            </w:rPr>
                            <w:t>dan</w:t>
                          </w:r>
                          <w:r>
                            <w:rPr>
                              <w:rFonts w:ascii="Arial"/>
                              <w:b/>
                              <w:spacing w:val="-5"/>
                              <w:sz w:val="20"/>
                            </w:rPr>
                            <w:t xml:space="preserve"> </w:t>
                          </w:r>
                          <w:r>
                            <w:rPr>
                              <w:rFonts w:ascii="Arial"/>
                              <w:b/>
                              <w:sz w:val="20"/>
                            </w:rPr>
                            <w:t>Sistem</w:t>
                          </w:r>
                          <w:r>
                            <w:rPr>
                              <w:rFonts w:ascii="Arial"/>
                              <w:b/>
                              <w:spacing w:val="-4"/>
                              <w:sz w:val="20"/>
                            </w:rPr>
                            <w:t xml:space="preserve"> </w:t>
                          </w:r>
                          <w:r>
                            <w:rPr>
                              <w:rFonts w:ascii="Arial"/>
                              <w:b/>
                              <w:sz w:val="20"/>
                            </w:rPr>
                            <w:t>Informasi</w:t>
                          </w:r>
                          <w:r>
                            <w:rPr>
                              <w:rFonts w:ascii="Arial"/>
                              <w:b/>
                              <w:spacing w:val="-2"/>
                              <w:sz w:val="20"/>
                            </w:rPr>
                            <w:t xml:space="preserve"> </w:t>
                          </w:r>
                          <w:r>
                            <w:rPr>
                              <w:rFonts w:ascii="Arial"/>
                              <w:b/>
                              <w:sz w:val="20"/>
                            </w:rPr>
                            <w:t>Akuntansi)</w:t>
                          </w:r>
                        </w:p>
                        <w:p w14:paraId="4A4D8ABE" w14:textId="0B733104" w:rsidR="00D05FB1" w:rsidRPr="000860B8" w:rsidRDefault="00E53A94">
                          <w:pPr>
                            <w:spacing w:line="229" w:lineRule="exact"/>
                            <w:ind w:left="9" w:right="10"/>
                            <w:jc w:val="center"/>
                            <w:rPr>
                              <w:sz w:val="20"/>
                              <w:lang w:val="en-US"/>
                            </w:rPr>
                          </w:pPr>
                          <w:r>
                            <w:rPr>
                              <w:sz w:val="20"/>
                            </w:rPr>
                            <w:t>Vol.</w:t>
                          </w:r>
                          <w:r w:rsidR="000860B8">
                            <w:rPr>
                              <w:sz w:val="20"/>
                              <w:lang w:val="en-US"/>
                            </w:rPr>
                            <w:t xml:space="preserve"> 7</w:t>
                          </w:r>
                          <w:r>
                            <w:rPr>
                              <w:spacing w:val="53"/>
                              <w:sz w:val="20"/>
                            </w:rPr>
                            <w:t xml:space="preserve"> </w:t>
                          </w:r>
                          <w:r>
                            <w:rPr>
                              <w:sz w:val="20"/>
                            </w:rPr>
                            <w:t>No.</w:t>
                          </w:r>
                          <w:r w:rsidR="000860B8">
                            <w:rPr>
                              <w:sz w:val="20"/>
                              <w:lang w:val="en-US"/>
                            </w:rPr>
                            <w:t xml:space="preserve"> 1</w:t>
                          </w:r>
                          <w:r>
                            <w:rPr>
                              <w:spacing w:val="1"/>
                              <w:sz w:val="20"/>
                            </w:rPr>
                            <w:t xml:space="preserve"> </w:t>
                          </w:r>
                          <w:r>
                            <w:rPr>
                              <w:sz w:val="20"/>
                            </w:rPr>
                            <w:t>/</w:t>
                          </w:r>
                          <w:r>
                            <w:rPr>
                              <w:spacing w:val="-1"/>
                              <w:sz w:val="20"/>
                            </w:rPr>
                            <w:t xml:space="preserve"> </w:t>
                          </w:r>
                          <w:r w:rsidR="000860B8">
                            <w:rPr>
                              <w:sz w:val="20"/>
                              <w:lang w:val="en-US"/>
                            </w:rPr>
                            <w:t>April 2023</w:t>
                          </w:r>
                        </w:p>
                        <w:p w14:paraId="1BD067FA" w14:textId="637A6888" w:rsidR="00D05FB1" w:rsidRPr="000860B8" w:rsidRDefault="00E53A94">
                          <w:pPr>
                            <w:spacing w:before="2"/>
                            <w:ind w:left="956" w:right="956"/>
                            <w:jc w:val="center"/>
                            <w:rPr>
                              <w:sz w:val="20"/>
                              <w:lang w:val="en-US"/>
                            </w:rPr>
                          </w:pPr>
                          <w:r>
                            <w:rPr>
                              <w:sz w:val="20"/>
                            </w:rPr>
                            <w:t>ISSN 2550-0732 print / ISSN 2655-8319 online</w:t>
                          </w:r>
                          <w:r>
                            <w:rPr>
                              <w:spacing w:val="-53"/>
                              <w:sz w:val="20"/>
                            </w:rPr>
                            <w:t xml:space="preserve"> </w:t>
                          </w:r>
                          <w:r>
                            <w:rPr>
                              <w:sz w:val="20"/>
                            </w:rPr>
                            <w:t>DOI;10.36555</w:t>
                          </w:r>
                          <w:r w:rsidR="000860B8">
                            <w:rPr>
                              <w:sz w:val="20"/>
                              <w:lang w:val="en-US"/>
                            </w:rPr>
                            <w:t>/jasa.v7i1.2180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7222D" id="_x0000_t202" coordsize="21600,21600" o:spt="202" path="m,l,21600r21600,l21600,xe">
              <v:stroke joinstyle="miter"/>
              <v:path gradientshapeok="t" o:connecttype="rect"/>
            </v:shapetype>
            <v:shape id="Text Box 11" o:spid="_x0000_s1026" type="#_x0000_t202" style="position:absolute;margin-left:145.85pt;margin-top:106.35pt;width:303.7pt;height:47.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" filled="f" stroked="f">
              <v:textbox inset="0,0,0,0">
                <w:txbxContent>
                  <w:p w14:paraId="4A556D43" w14:textId="77777777" w:rsidR="00D05FB1" w:rsidRDefault="00000000">
                    <w:pPr>
                      <w:spacing w:before="13" w:line="229" w:lineRule="exact"/>
                      <w:ind w:left="10" w:right="10"/>
                      <w:jc w:val="center"/>
                      <w:rPr>
                        <w:rFonts w:ascii="Arial"/>
                        <w:b/>
                        <w:sz w:val="20"/>
                      </w:rPr>
                    </w:pPr>
                    <w:r>
                      <w:rPr>
                        <w:rFonts w:ascii="Arial"/>
                        <w:b/>
                        <w:sz w:val="20"/>
                      </w:rPr>
                      <w:t>JASa</w:t>
                    </w:r>
                    <w:r>
                      <w:rPr>
                        <w:rFonts w:ascii="Arial"/>
                        <w:b/>
                        <w:spacing w:val="-3"/>
                        <w:sz w:val="20"/>
                      </w:rPr>
                      <w:t xml:space="preserve"> </w:t>
                    </w:r>
                    <w:r>
                      <w:rPr>
                        <w:rFonts w:ascii="Arial"/>
                        <w:b/>
                        <w:sz w:val="20"/>
                      </w:rPr>
                      <w:t>(Jurnal</w:t>
                    </w:r>
                    <w:r>
                      <w:rPr>
                        <w:rFonts w:ascii="Arial"/>
                        <w:b/>
                        <w:spacing w:val="-2"/>
                        <w:sz w:val="20"/>
                      </w:rPr>
                      <w:t xml:space="preserve"> </w:t>
                    </w:r>
                    <w:r>
                      <w:rPr>
                        <w:rFonts w:ascii="Arial"/>
                        <w:b/>
                        <w:sz w:val="20"/>
                      </w:rPr>
                      <w:t>Akuntansi,</w:t>
                    </w:r>
                    <w:r>
                      <w:rPr>
                        <w:rFonts w:ascii="Arial"/>
                        <w:b/>
                        <w:spacing w:val="-2"/>
                        <w:sz w:val="20"/>
                      </w:rPr>
                      <w:t xml:space="preserve"> </w:t>
                    </w:r>
                    <w:r>
                      <w:rPr>
                        <w:rFonts w:ascii="Arial"/>
                        <w:b/>
                        <w:sz w:val="20"/>
                      </w:rPr>
                      <w:t>Audit</w:t>
                    </w:r>
                    <w:r>
                      <w:rPr>
                        <w:rFonts w:ascii="Arial"/>
                        <w:b/>
                        <w:spacing w:val="-4"/>
                        <w:sz w:val="20"/>
                      </w:rPr>
                      <w:t xml:space="preserve"> </w:t>
                    </w:r>
                    <w:r>
                      <w:rPr>
                        <w:rFonts w:ascii="Arial"/>
                        <w:b/>
                        <w:sz w:val="20"/>
                      </w:rPr>
                      <w:t>dan</w:t>
                    </w:r>
                    <w:r>
                      <w:rPr>
                        <w:rFonts w:ascii="Arial"/>
                        <w:b/>
                        <w:spacing w:val="-5"/>
                        <w:sz w:val="20"/>
                      </w:rPr>
                      <w:t xml:space="preserve"> </w:t>
                    </w:r>
                    <w:r>
                      <w:rPr>
                        <w:rFonts w:ascii="Arial"/>
                        <w:b/>
                        <w:sz w:val="20"/>
                      </w:rPr>
                      <w:t>Sistem</w:t>
                    </w:r>
                    <w:r>
                      <w:rPr>
                        <w:rFonts w:ascii="Arial"/>
                        <w:b/>
                        <w:spacing w:val="-4"/>
                        <w:sz w:val="20"/>
                      </w:rPr>
                      <w:t xml:space="preserve"> </w:t>
                    </w:r>
                    <w:r>
                      <w:rPr>
                        <w:rFonts w:ascii="Arial"/>
                        <w:b/>
                        <w:sz w:val="20"/>
                      </w:rPr>
                      <w:t>Informasi</w:t>
                    </w:r>
                    <w:r>
                      <w:rPr>
                        <w:rFonts w:ascii="Arial"/>
                        <w:b/>
                        <w:spacing w:val="-2"/>
                        <w:sz w:val="20"/>
                      </w:rPr>
                      <w:t xml:space="preserve"> </w:t>
                    </w:r>
                    <w:r>
                      <w:rPr>
                        <w:rFonts w:ascii="Arial"/>
                        <w:b/>
                        <w:sz w:val="20"/>
                      </w:rPr>
                      <w:t>Akuntansi)</w:t>
                    </w:r>
                  </w:p>
                  <w:p w14:paraId="4A4D8ABE" w14:textId="0B733104" w:rsidR="00D05FB1" w:rsidRPr="000860B8" w:rsidRDefault="00000000">
                    <w:pPr>
                      <w:spacing w:line="229" w:lineRule="exact"/>
                      <w:ind w:left="9" w:right="10"/>
                      <w:jc w:val="center"/>
                      <w:rPr>
                        <w:sz w:val="20"/>
                        <w:lang w:val="en-US"/>
                      </w:rPr>
                    </w:pPr>
                    <w:r>
                      <w:rPr>
                        <w:sz w:val="20"/>
                      </w:rPr>
                      <w:t>Vol.</w:t>
                    </w:r>
                    <w:r w:rsidR="000860B8">
                      <w:rPr>
                        <w:sz w:val="20"/>
                        <w:lang w:val="en-US"/>
                      </w:rPr>
                      <w:t xml:space="preserve"> 7</w:t>
                    </w:r>
                    <w:r>
                      <w:rPr>
                        <w:spacing w:val="53"/>
                        <w:sz w:val="20"/>
                      </w:rPr>
                      <w:t xml:space="preserve"> </w:t>
                    </w:r>
                    <w:r>
                      <w:rPr>
                        <w:sz w:val="20"/>
                      </w:rPr>
                      <w:t>No.</w:t>
                    </w:r>
                    <w:r w:rsidR="000860B8">
                      <w:rPr>
                        <w:sz w:val="20"/>
                        <w:lang w:val="en-US"/>
                      </w:rPr>
                      <w:t xml:space="preserve"> 1</w:t>
                    </w:r>
                    <w:r>
                      <w:rPr>
                        <w:spacing w:val="1"/>
                        <w:sz w:val="20"/>
                      </w:rPr>
                      <w:t xml:space="preserve"> </w:t>
                    </w:r>
                    <w:r>
                      <w:rPr>
                        <w:sz w:val="20"/>
                      </w:rPr>
                      <w:t>/</w:t>
                    </w:r>
                    <w:r>
                      <w:rPr>
                        <w:spacing w:val="-1"/>
                        <w:sz w:val="20"/>
                      </w:rPr>
                      <w:t xml:space="preserve"> </w:t>
                    </w:r>
                    <w:r w:rsidR="000860B8">
                      <w:rPr>
                        <w:sz w:val="20"/>
                        <w:lang w:val="en-US"/>
                      </w:rPr>
                      <w:t>April 2023</w:t>
                    </w:r>
                  </w:p>
                  <w:p w14:paraId="1BD067FA" w14:textId="637A6888" w:rsidR="00D05FB1" w:rsidRPr="000860B8" w:rsidRDefault="00000000">
                    <w:pPr>
                      <w:spacing w:before="2"/>
                      <w:ind w:left="956" w:right="956"/>
                      <w:jc w:val="center"/>
                      <w:rPr>
                        <w:sz w:val="20"/>
                        <w:lang w:val="en-US"/>
                      </w:rPr>
                    </w:pPr>
                    <w:r>
                      <w:rPr>
                        <w:sz w:val="20"/>
                      </w:rPr>
                      <w:t>ISSN 2550-0732 print / ISSN 2655-8319 online</w:t>
                    </w:r>
                    <w:r>
                      <w:rPr>
                        <w:spacing w:val="-53"/>
                        <w:sz w:val="20"/>
                      </w:rPr>
                      <w:t xml:space="preserve"> </w:t>
                    </w:r>
                    <w:r>
                      <w:rPr>
                        <w:sz w:val="20"/>
                      </w:rPr>
                      <w:t>DOI;10.36555</w:t>
                    </w:r>
                    <w:r w:rsidR="000860B8">
                      <w:rPr>
                        <w:sz w:val="20"/>
                        <w:lang w:val="en-US"/>
                      </w:rPr>
                      <w:t>/jasa.v7i1.2180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E0888"/>
    <w:multiLevelType w:val="hybridMultilevel"/>
    <w:tmpl w:val="3C10A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95360"/>
    <w:multiLevelType w:val="hybridMultilevel"/>
    <w:tmpl w:val="83BE717C"/>
    <w:lvl w:ilvl="0" w:tplc="1C346AF8">
      <w:numFmt w:val="bullet"/>
      <w:lvlText w:val=""/>
      <w:lvlJc w:val="left"/>
      <w:pPr>
        <w:ind w:left="384" w:hanging="284"/>
      </w:pPr>
      <w:rPr>
        <w:rFonts w:ascii="Wingdings" w:eastAsia="Wingdings" w:hAnsi="Wingdings" w:cs="Wingdings" w:hint="default"/>
        <w:w w:val="100"/>
        <w:sz w:val="22"/>
        <w:szCs w:val="22"/>
        <w:lang w:val="id" w:eastAsia="en-US" w:bidi="ar-SA"/>
      </w:rPr>
    </w:lvl>
    <w:lvl w:ilvl="1" w:tplc="17C67D38">
      <w:numFmt w:val="bullet"/>
      <w:lvlText w:val=""/>
      <w:lvlJc w:val="left"/>
      <w:pPr>
        <w:ind w:left="1177" w:hanging="360"/>
      </w:pPr>
      <w:rPr>
        <w:rFonts w:hint="default"/>
        <w:w w:val="100"/>
        <w:lang w:val="id" w:eastAsia="en-US" w:bidi="ar-SA"/>
      </w:rPr>
    </w:lvl>
    <w:lvl w:ilvl="2" w:tplc="36B08EC2">
      <w:numFmt w:val="bullet"/>
      <w:lvlText w:val="o"/>
      <w:lvlJc w:val="left"/>
      <w:pPr>
        <w:ind w:left="1897" w:hanging="360"/>
      </w:pPr>
      <w:rPr>
        <w:rFonts w:ascii="Courier New" w:eastAsia="Courier New" w:hAnsi="Courier New" w:cs="Courier New" w:hint="default"/>
        <w:w w:val="100"/>
        <w:sz w:val="22"/>
        <w:szCs w:val="22"/>
        <w:lang w:val="id" w:eastAsia="en-US" w:bidi="ar-SA"/>
      </w:rPr>
    </w:lvl>
    <w:lvl w:ilvl="3" w:tplc="2324A3B6">
      <w:numFmt w:val="bullet"/>
      <w:lvlText w:val="•"/>
      <w:lvlJc w:val="left"/>
      <w:pPr>
        <w:ind w:left="2753" w:hanging="360"/>
      </w:pPr>
      <w:rPr>
        <w:rFonts w:hint="default"/>
        <w:lang w:val="id" w:eastAsia="en-US" w:bidi="ar-SA"/>
      </w:rPr>
    </w:lvl>
    <w:lvl w:ilvl="4" w:tplc="18642B9E">
      <w:numFmt w:val="bullet"/>
      <w:lvlText w:val="•"/>
      <w:lvlJc w:val="left"/>
      <w:pPr>
        <w:ind w:left="3607" w:hanging="360"/>
      </w:pPr>
      <w:rPr>
        <w:rFonts w:hint="default"/>
        <w:lang w:val="id" w:eastAsia="en-US" w:bidi="ar-SA"/>
      </w:rPr>
    </w:lvl>
    <w:lvl w:ilvl="5" w:tplc="D956711A">
      <w:numFmt w:val="bullet"/>
      <w:lvlText w:val="•"/>
      <w:lvlJc w:val="left"/>
      <w:pPr>
        <w:ind w:left="4460" w:hanging="360"/>
      </w:pPr>
      <w:rPr>
        <w:rFonts w:hint="default"/>
        <w:lang w:val="id" w:eastAsia="en-US" w:bidi="ar-SA"/>
      </w:rPr>
    </w:lvl>
    <w:lvl w:ilvl="6" w:tplc="57388844">
      <w:numFmt w:val="bullet"/>
      <w:lvlText w:val="•"/>
      <w:lvlJc w:val="left"/>
      <w:pPr>
        <w:ind w:left="5314" w:hanging="360"/>
      </w:pPr>
      <w:rPr>
        <w:rFonts w:hint="default"/>
        <w:lang w:val="id" w:eastAsia="en-US" w:bidi="ar-SA"/>
      </w:rPr>
    </w:lvl>
    <w:lvl w:ilvl="7" w:tplc="00F406AC">
      <w:numFmt w:val="bullet"/>
      <w:lvlText w:val="•"/>
      <w:lvlJc w:val="left"/>
      <w:pPr>
        <w:ind w:left="6167" w:hanging="360"/>
      </w:pPr>
      <w:rPr>
        <w:rFonts w:hint="default"/>
        <w:lang w:val="id" w:eastAsia="en-US" w:bidi="ar-SA"/>
      </w:rPr>
    </w:lvl>
    <w:lvl w:ilvl="8" w:tplc="64F20FA2">
      <w:numFmt w:val="bullet"/>
      <w:lvlText w:val="•"/>
      <w:lvlJc w:val="left"/>
      <w:pPr>
        <w:ind w:left="7021" w:hanging="360"/>
      </w:pPr>
      <w:rPr>
        <w:rFonts w:hint="default"/>
        <w:lang w:val="id" w:eastAsia="en-US" w:bidi="ar-SA"/>
      </w:rPr>
    </w:lvl>
  </w:abstractNum>
  <w:num w:numId="1" w16cid:durableId="1266959161">
    <w:abstractNumId w:val="1"/>
  </w:num>
  <w:num w:numId="2" w16cid:durableId="826480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B1"/>
    <w:rsid w:val="00016AEF"/>
    <w:rsid w:val="00023646"/>
    <w:rsid w:val="000562A0"/>
    <w:rsid w:val="00056D27"/>
    <w:rsid w:val="000860B8"/>
    <w:rsid w:val="000A3E99"/>
    <w:rsid w:val="000A6F4C"/>
    <w:rsid w:val="000B635F"/>
    <w:rsid w:val="000C4622"/>
    <w:rsid w:val="00183785"/>
    <w:rsid w:val="001C0AFB"/>
    <w:rsid w:val="001D54D0"/>
    <w:rsid w:val="00216863"/>
    <w:rsid w:val="0023618D"/>
    <w:rsid w:val="00284ED1"/>
    <w:rsid w:val="0033789B"/>
    <w:rsid w:val="00357A82"/>
    <w:rsid w:val="0036538F"/>
    <w:rsid w:val="003E38E1"/>
    <w:rsid w:val="004143CB"/>
    <w:rsid w:val="00473723"/>
    <w:rsid w:val="004D76C7"/>
    <w:rsid w:val="0051500B"/>
    <w:rsid w:val="005358FC"/>
    <w:rsid w:val="005601FB"/>
    <w:rsid w:val="00573FCC"/>
    <w:rsid w:val="005A4D2D"/>
    <w:rsid w:val="005D6B83"/>
    <w:rsid w:val="005F018C"/>
    <w:rsid w:val="00644373"/>
    <w:rsid w:val="007053E4"/>
    <w:rsid w:val="007419F5"/>
    <w:rsid w:val="00765AD5"/>
    <w:rsid w:val="00810708"/>
    <w:rsid w:val="008223B0"/>
    <w:rsid w:val="00910752"/>
    <w:rsid w:val="00955721"/>
    <w:rsid w:val="009E40AF"/>
    <w:rsid w:val="00A024CB"/>
    <w:rsid w:val="00A027F0"/>
    <w:rsid w:val="00A437B1"/>
    <w:rsid w:val="00A518BD"/>
    <w:rsid w:val="00A84ADB"/>
    <w:rsid w:val="00AD5DA0"/>
    <w:rsid w:val="00B04649"/>
    <w:rsid w:val="00B31251"/>
    <w:rsid w:val="00B63904"/>
    <w:rsid w:val="00B75556"/>
    <w:rsid w:val="00BE1963"/>
    <w:rsid w:val="00C91F64"/>
    <w:rsid w:val="00CC6331"/>
    <w:rsid w:val="00D2435B"/>
    <w:rsid w:val="00D40719"/>
    <w:rsid w:val="00DA50AF"/>
    <w:rsid w:val="00E0706F"/>
    <w:rsid w:val="00E6371B"/>
    <w:rsid w:val="00E83DF3"/>
    <w:rsid w:val="00EA1A9B"/>
    <w:rsid w:val="00EC09D7"/>
    <w:rsid w:val="00EC4886"/>
    <w:rsid w:val="00F715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5A6BF"/>
  <w15:chartTrackingRefBased/>
  <w15:docId w15:val="{A4F8CDE3-36CD-4FB6-A616-8A0B4669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B1"/>
    <w:pPr>
      <w:widowControl w:val="0"/>
      <w:autoSpaceDE w:val="0"/>
      <w:autoSpaceDN w:val="0"/>
      <w:spacing w:after="0" w:line="240" w:lineRule="auto"/>
    </w:pPr>
    <w:rPr>
      <w:rFonts w:ascii="Arial MT" w:eastAsia="Arial MT" w:hAnsi="Arial MT" w:cs="Arial MT"/>
      <w:kern w:val="0"/>
      <w:lang w:val="id"/>
      <w14:ligatures w14:val="none"/>
    </w:rPr>
  </w:style>
  <w:style w:type="paragraph" w:styleId="Heading1">
    <w:name w:val="heading 1"/>
    <w:basedOn w:val="Normal"/>
    <w:link w:val="Heading1Char"/>
    <w:uiPriority w:val="9"/>
    <w:qFormat/>
    <w:rsid w:val="00A437B1"/>
    <w:pPr>
      <w:ind w:left="945" w:right="965"/>
      <w:jc w:val="center"/>
      <w:outlineLvl w:val="0"/>
    </w:pPr>
    <w:rPr>
      <w:rFonts w:ascii="Arial" w:eastAsia="Arial" w:hAnsi="Arial" w:cs="Arial"/>
      <w:b/>
      <w:bCs/>
    </w:rPr>
  </w:style>
  <w:style w:type="paragraph" w:styleId="Heading2">
    <w:name w:val="heading 2"/>
    <w:basedOn w:val="Normal"/>
    <w:next w:val="Normal"/>
    <w:link w:val="Heading2Char"/>
    <w:uiPriority w:val="9"/>
    <w:unhideWhenUsed/>
    <w:qFormat/>
    <w:rsid w:val="00A437B1"/>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7B1"/>
    <w:rPr>
      <w:rFonts w:ascii="Arial" w:eastAsia="Arial" w:hAnsi="Arial" w:cs="Arial"/>
      <w:b/>
      <w:bCs/>
      <w:kern w:val="0"/>
      <w:lang w:val="id"/>
      <w14:ligatures w14:val="none"/>
    </w:rPr>
  </w:style>
  <w:style w:type="character" w:customStyle="1" w:styleId="Heading2Char">
    <w:name w:val="Heading 2 Char"/>
    <w:basedOn w:val="DefaultParagraphFont"/>
    <w:link w:val="Heading2"/>
    <w:uiPriority w:val="9"/>
    <w:rsid w:val="00A437B1"/>
    <w:rPr>
      <w:rFonts w:asciiTheme="majorHAnsi" w:eastAsiaTheme="majorEastAsia" w:hAnsiTheme="majorHAnsi" w:cstheme="majorBidi"/>
      <w:color w:val="2F5496" w:themeColor="accent1" w:themeShade="BF"/>
      <w:kern w:val="0"/>
      <w:sz w:val="26"/>
      <w:szCs w:val="26"/>
      <w14:ligatures w14:val="none"/>
    </w:rPr>
  </w:style>
  <w:style w:type="paragraph" w:styleId="BodyText">
    <w:name w:val="Body Text"/>
    <w:basedOn w:val="Normal"/>
    <w:link w:val="BodyTextChar"/>
    <w:uiPriority w:val="1"/>
    <w:qFormat/>
    <w:rsid w:val="00A437B1"/>
    <w:pPr>
      <w:ind w:left="100"/>
    </w:pPr>
  </w:style>
  <w:style w:type="character" w:customStyle="1" w:styleId="BodyTextChar">
    <w:name w:val="Body Text Char"/>
    <w:basedOn w:val="DefaultParagraphFont"/>
    <w:link w:val="BodyText"/>
    <w:uiPriority w:val="1"/>
    <w:rsid w:val="00A437B1"/>
    <w:rPr>
      <w:rFonts w:ascii="Arial MT" w:eastAsia="Arial MT" w:hAnsi="Arial MT" w:cs="Arial MT"/>
      <w:kern w:val="0"/>
      <w:lang w:val="id"/>
      <w14:ligatures w14:val="none"/>
    </w:rPr>
  </w:style>
  <w:style w:type="paragraph" w:styleId="ListParagraph">
    <w:name w:val="List Paragraph"/>
    <w:basedOn w:val="Normal"/>
    <w:uiPriority w:val="1"/>
    <w:qFormat/>
    <w:rsid w:val="00A437B1"/>
    <w:pPr>
      <w:spacing w:line="268" w:lineRule="exact"/>
      <w:ind w:left="1177" w:hanging="361"/>
    </w:pPr>
  </w:style>
  <w:style w:type="paragraph" w:customStyle="1" w:styleId="TableParagraph">
    <w:name w:val="Table Paragraph"/>
    <w:basedOn w:val="Normal"/>
    <w:uiPriority w:val="1"/>
    <w:qFormat/>
    <w:rsid w:val="00A437B1"/>
  </w:style>
  <w:style w:type="character" w:styleId="Hyperlink">
    <w:name w:val="Hyperlink"/>
    <w:basedOn w:val="DefaultParagraphFont"/>
    <w:uiPriority w:val="99"/>
    <w:unhideWhenUsed/>
    <w:rsid w:val="00A437B1"/>
    <w:rPr>
      <w:color w:val="0563C1" w:themeColor="hyperlink"/>
      <w:u w:val="single"/>
    </w:rPr>
  </w:style>
  <w:style w:type="character" w:styleId="UnresolvedMention">
    <w:name w:val="Unresolved Mention"/>
    <w:basedOn w:val="DefaultParagraphFont"/>
    <w:uiPriority w:val="99"/>
    <w:semiHidden/>
    <w:unhideWhenUsed/>
    <w:rsid w:val="00A437B1"/>
    <w:rPr>
      <w:color w:val="605E5C"/>
      <w:shd w:val="clear" w:color="auto" w:fill="E1DFDD"/>
    </w:rPr>
  </w:style>
  <w:style w:type="paragraph" w:styleId="NormalWeb">
    <w:name w:val="Normal (Web)"/>
    <w:basedOn w:val="Normal"/>
    <w:uiPriority w:val="99"/>
    <w:unhideWhenUsed/>
    <w:rsid w:val="00A437B1"/>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table" w:styleId="PlainTable2">
    <w:name w:val="Plain Table 2"/>
    <w:basedOn w:val="TableNormal"/>
    <w:uiPriority w:val="42"/>
    <w:rsid w:val="00A437B1"/>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437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37B1"/>
    <w:rPr>
      <w:sz w:val="16"/>
      <w:szCs w:val="16"/>
    </w:rPr>
  </w:style>
  <w:style w:type="paragraph" w:styleId="CommentText">
    <w:name w:val="annotation text"/>
    <w:basedOn w:val="Normal"/>
    <w:link w:val="CommentTextChar"/>
    <w:uiPriority w:val="99"/>
    <w:semiHidden/>
    <w:unhideWhenUsed/>
    <w:rsid w:val="00A437B1"/>
    <w:pPr>
      <w:widowControl/>
      <w:autoSpaceDE/>
      <w:autoSpaceDN/>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A437B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E40AF"/>
    <w:pPr>
      <w:widowControl w:val="0"/>
      <w:autoSpaceDE w:val="0"/>
      <w:autoSpaceDN w:val="0"/>
      <w:spacing w:after="0"/>
    </w:pPr>
    <w:rPr>
      <w:rFonts w:ascii="Arial MT" w:eastAsia="Arial MT" w:hAnsi="Arial MT" w:cs="Arial MT"/>
      <w:b/>
      <w:bCs/>
      <w:lang w:val="id"/>
    </w:rPr>
  </w:style>
  <w:style w:type="character" w:customStyle="1" w:styleId="CommentSubjectChar">
    <w:name w:val="Comment Subject Char"/>
    <w:basedOn w:val="CommentTextChar"/>
    <w:link w:val="CommentSubject"/>
    <w:uiPriority w:val="99"/>
    <w:semiHidden/>
    <w:rsid w:val="009E40AF"/>
    <w:rPr>
      <w:rFonts w:ascii="Arial MT" w:eastAsia="Arial MT" w:hAnsi="Arial MT" w:cs="Arial MT"/>
      <w:b/>
      <w:bCs/>
      <w:kern w:val="0"/>
      <w:sz w:val="20"/>
      <w:szCs w:val="20"/>
      <w:lang w:val="id"/>
      <w14:ligatures w14:val="none"/>
    </w:rPr>
  </w:style>
  <w:style w:type="paragraph" w:styleId="Header">
    <w:name w:val="header"/>
    <w:basedOn w:val="Normal"/>
    <w:link w:val="HeaderChar"/>
    <w:uiPriority w:val="99"/>
    <w:unhideWhenUsed/>
    <w:rsid w:val="00810708"/>
    <w:pPr>
      <w:tabs>
        <w:tab w:val="center" w:pos="4513"/>
        <w:tab w:val="right" w:pos="9026"/>
      </w:tabs>
    </w:pPr>
  </w:style>
  <w:style w:type="character" w:customStyle="1" w:styleId="HeaderChar">
    <w:name w:val="Header Char"/>
    <w:basedOn w:val="DefaultParagraphFont"/>
    <w:link w:val="Header"/>
    <w:uiPriority w:val="99"/>
    <w:rsid w:val="00810708"/>
    <w:rPr>
      <w:rFonts w:ascii="Arial MT" w:eastAsia="Arial MT" w:hAnsi="Arial MT" w:cs="Arial MT"/>
      <w:kern w:val="0"/>
      <w:lang w:val="id"/>
      <w14:ligatures w14:val="none"/>
    </w:rPr>
  </w:style>
  <w:style w:type="paragraph" w:styleId="Footer">
    <w:name w:val="footer"/>
    <w:basedOn w:val="Normal"/>
    <w:link w:val="FooterChar"/>
    <w:uiPriority w:val="99"/>
    <w:unhideWhenUsed/>
    <w:rsid w:val="00810708"/>
    <w:pPr>
      <w:tabs>
        <w:tab w:val="center" w:pos="4513"/>
        <w:tab w:val="right" w:pos="9026"/>
      </w:tabs>
    </w:pPr>
  </w:style>
  <w:style w:type="character" w:customStyle="1" w:styleId="FooterChar">
    <w:name w:val="Footer Char"/>
    <w:basedOn w:val="DefaultParagraphFont"/>
    <w:link w:val="Footer"/>
    <w:uiPriority w:val="99"/>
    <w:rsid w:val="00810708"/>
    <w:rPr>
      <w:rFonts w:ascii="Arial MT" w:eastAsia="Arial MT" w:hAnsi="Arial MT" w:cs="Arial MT"/>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411">
      <w:bodyDiv w:val="1"/>
      <w:marLeft w:val="0"/>
      <w:marRight w:val="0"/>
      <w:marTop w:val="0"/>
      <w:marBottom w:val="0"/>
      <w:divBdr>
        <w:top w:val="none" w:sz="0" w:space="0" w:color="auto"/>
        <w:left w:val="none" w:sz="0" w:space="0" w:color="auto"/>
        <w:bottom w:val="none" w:sz="0" w:space="0" w:color="auto"/>
        <w:right w:val="none" w:sz="0" w:space="0" w:color="auto"/>
      </w:divBdr>
    </w:div>
    <w:div w:id="23095907">
      <w:bodyDiv w:val="1"/>
      <w:marLeft w:val="0"/>
      <w:marRight w:val="0"/>
      <w:marTop w:val="0"/>
      <w:marBottom w:val="0"/>
      <w:divBdr>
        <w:top w:val="none" w:sz="0" w:space="0" w:color="auto"/>
        <w:left w:val="none" w:sz="0" w:space="0" w:color="auto"/>
        <w:bottom w:val="none" w:sz="0" w:space="0" w:color="auto"/>
        <w:right w:val="none" w:sz="0" w:space="0" w:color="auto"/>
      </w:divBdr>
    </w:div>
    <w:div w:id="36901012">
      <w:bodyDiv w:val="1"/>
      <w:marLeft w:val="0"/>
      <w:marRight w:val="0"/>
      <w:marTop w:val="0"/>
      <w:marBottom w:val="0"/>
      <w:divBdr>
        <w:top w:val="none" w:sz="0" w:space="0" w:color="auto"/>
        <w:left w:val="none" w:sz="0" w:space="0" w:color="auto"/>
        <w:bottom w:val="none" w:sz="0" w:space="0" w:color="auto"/>
        <w:right w:val="none" w:sz="0" w:space="0" w:color="auto"/>
      </w:divBdr>
    </w:div>
    <w:div w:id="49696620">
      <w:bodyDiv w:val="1"/>
      <w:marLeft w:val="0"/>
      <w:marRight w:val="0"/>
      <w:marTop w:val="0"/>
      <w:marBottom w:val="0"/>
      <w:divBdr>
        <w:top w:val="none" w:sz="0" w:space="0" w:color="auto"/>
        <w:left w:val="none" w:sz="0" w:space="0" w:color="auto"/>
        <w:bottom w:val="none" w:sz="0" w:space="0" w:color="auto"/>
        <w:right w:val="none" w:sz="0" w:space="0" w:color="auto"/>
      </w:divBdr>
    </w:div>
    <w:div w:id="82148176">
      <w:bodyDiv w:val="1"/>
      <w:marLeft w:val="0"/>
      <w:marRight w:val="0"/>
      <w:marTop w:val="0"/>
      <w:marBottom w:val="0"/>
      <w:divBdr>
        <w:top w:val="none" w:sz="0" w:space="0" w:color="auto"/>
        <w:left w:val="none" w:sz="0" w:space="0" w:color="auto"/>
        <w:bottom w:val="none" w:sz="0" w:space="0" w:color="auto"/>
        <w:right w:val="none" w:sz="0" w:space="0" w:color="auto"/>
      </w:divBdr>
    </w:div>
    <w:div w:id="87703509">
      <w:bodyDiv w:val="1"/>
      <w:marLeft w:val="0"/>
      <w:marRight w:val="0"/>
      <w:marTop w:val="0"/>
      <w:marBottom w:val="0"/>
      <w:divBdr>
        <w:top w:val="none" w:sz="0" w:space="0" w:color="auto"/>
        <w:left w:val="none" w:sz="0" w:space="0" w:color="auto"/>
        <w:bottom w:val="none" w:sz="0" w:space="0" w:color="auto"/>
        <w:right w:val="none" w:sz="0" w:space="0" w:color="auto"/>
      </w:divBdr>
    </w:div>
    <w:div w:id="126244470">
      <w:bodyDiv w:val="1"/>
      <w:marLeft w:val="0"/>
      <w:marRight w:val="0"/>
      <w:marTop w:val="0"/>
      <w:marBottom w:val="0"/>
      <w:divBdr>
        <w:top w:val="none" w:sz="0" w:space="0" w:color="auto"/>
        <w:left w:val="none" w:sz="0" w:space="0" w:color="auto"/>
        <w:bottom w:val="none" w:sz="0" w:space="0" w:color="auto"/>
        <w:right w:val="none" w:sz="0" w:space="0" w:color="auto"/>
      </w:divBdr>
    </w:div>
    <w:div w:id="183255114">
      <w:bodyDiv w:val="1"/>
      <w:marLeft w:val="0"/>
      <w:marRight w:val="0"/>
      <w:marTop w:val="0"/>
      <w:marBottom w:val="0"/>
      <w:divBdr>
        <w:top w:val="none" w:sz="0" w:space="0" w:color="auto"/>
        <w:left w:val="none" w:sz="0" w:space="0" w:color="auto"/>
        <w:bottom w:val="none" w:sz="0" w:space="0" w:color="auto"/>
        <w:right w:val="none" w:sz="0" w:space="0" w:color="auto"/>
      </w:divBdr>
    </w:div>
    <w:div w:id="220754995">
      <w:bodyDiv w:val="1"/>
      <w:marLeft w:val="0"/>
      <w:marRight w:val="0"/>
      <w:marTop w:val="0"/>
      <w:marBottom w:val="0"/>
      <w:divBdr>
        <w:top w:val="none" w:sz="0" w:space="0" w:color="auto"/>
        <w:left w:val="none" w:sz="0" w:space="0" w:color="auto"/>
        <w:bottom w:val="none" w:sz="0" w:space="0" w:color="auto"/>
        <w:right w:val="none" w:sz="0" w:space="0" w:color="auto"/>
      </w:divBdr>
    </w:div>
    <w:div w:id="221254174">
      <w:bodyDiv w:val="1"/>
      <w:marLeft w:val="0"/>
      <w:marRight w:val="0"/>
      <w:marTop w:val="0"/>
      <w:marBottom w:val="0"/>
      <w:divBdr>
        <w:top w:val="none" w:sz="0" w:space="0" w:color="auto"/>
        <w:left w:val="none" w:sz="0" w:space="0" w:color="auto"/>
        <w:bottom w:val="none" w:sz="0" w:space="0" w:color="auto"/>
        <w:right w:val="none" w:sz="0" w:space="0" w:color="auto"/>
      </w:divBdr>
    </w:div>
    <w:div w:id="239415849">
      <w:bodyDiv w:val="1"/>
      <w:marLeft w:val="0"/>
      <w:marRight w:val="0"/>
      <w:marTop w:val="0"/>
      <w:marBottom w:val="0"/>
      <w:divBdr>
        <w:top w:val="none" w:sz="0" w:space="0" w:color="auto"/>
        <w:left w:val="none" w:sz="0" w:space="0" w:color="auto"/>
        <w:bottom w:val="none" w:sz="0" w:space="0" w:color="auto"/>
        <w:right w:val="none" w:sz="0" w:space="0" w:color="auto"/>
      </w:divBdr>
    </w:div>
    <w:div w:id="260332724">
      <w:bodyDiv w:val="1"/>
      <w:marLeft w:val="0"/>
      <w:marRight w:val="0"/>
      <w:marTop w:val="0"/>
      <w:marBottom w:val="0"/>
      <w:divBdr>
        <w:top w:val="none" w:sz="0" w:space="0" w:color="auto"/>
        <w:left w:val="none" w:sz="0" w:space="0" w:color="auto"/>
        <w:bottom w:val="none" w:sz="0" w:space="0" w:color="auto"/>
        <w:right w:val="none" w:sz="0" w:space="0" w:color="auto"/>
      </w:divBdr>
    </w:div>
    <w:div w:id="308899916">
      <w:bodyDiv w:val="1"/>
      <w:marLeft w:val="0"/>
      <w:marRight w:val="0"/>
      <w:marTop w:val="0"/>
      <w:marBottom w:val="0"/>
      <w:divBdr>
        <w:top w:val="none" w:sz="0" w:space="0" w:color="auto"/>
        <w:left w:val="none" w:sz="0" w:space="0" w:color="auto"/>
        <w:bottom w:val="none" w:sz="0" w:space="0" w:color="auto"/>
        <w:right w:val="none" w:sz="0" w:space="0" w:color="auto"/>
      </w:divBdr>
    </w:div>
    <w:div w:id="323240970">
      <w:bodyDiv w:val="1"/>
      <w:marLeft w:val="0"/>
      <w:marRight w:val="0"/>
      <w:marTop w:val="0"/>
      <w:marBottom w:val="0"/>
      <w:divBdr>
        <w:top w:val="none" w:sz="0" w:space="0" w:color="auto"/>
        <w:left w:val="none" w:sz="0" w:space="0" w:color="auto"/>
        <w:bottom w:val="none" w:sz="0" w:space="0" w:color="auto"/>
        <w:right w:val="none" w:sz="0" w:space="0" w:color="auto"/>
      </w:divBdr>
    </w:div>
    <w:div w:id="354427165">
      <w:bodyDiv w:val="1"/>
      <w:marLeft w:val="0"/>
      <w:marRight w:val="0"/>
      <w:marTop w:val="0"/>
      <w:marBottom w:val="0"/>
      <w:divBdr>
        <w:top w:val="none" w:sz="0" w:space="0" w:color="auto"/>
        <w:left w:val="none" w:sz="0" w:space="0" w:color="auto"/>
        <w:bottom w:val="none" w:sz="0" w:space="0" w:color="auto"/>
        <w:right w:val="none" w:sz="0" w:space="0" w:color="auto"/>
      </w:divBdr>
    </w:div>
    <w:div w:id="388578370">
      <w:bodyDiv w:val="1"/>
      <w:marLeft w:val="0"/>
      <w:marRight w:val="0"/>
      <w:marTop w:val="0"/>
      <w:marBottom w:val="0"/>
      <w:divBdr>
        <w:top w:val="none" w:sz="0" w:space="0" w:color="auto"/>
        <w:left w:val="none" w:sz="0" w:space="0" w:color="auto"/>
        <w:bottom w:val="none" w:sz="0" w:space="0" w:color="auto"/>
        <w:right w:val="none" w:sz="0" w:space="0" w:color="auto"/>
      </w:divBdr>
    </w:div>
    <w:div w:id="406996336">
      <w:bodyDiv w:val="1"/>
      <w:marLeft w:val="0"/>
      <w:marRight w:val="0"/>
      <w:marTop w:val="0"/>
      <w:marBottom w:val="0"/>
      <w:divBdr>
        <w:top w:val="none" w:sz="0" w:space="0" w:color="auto"/>
        <w:left w:val="none" w:sz="0" w:space="0" w:color="auto"/>
        <w:bottom w:val="none" w:sz="0" w:space="0" w:color="auto"/>
        <w:right w:val="none" w:sz="0" w:space="0" w:color="auto"/>
      </w:divBdr>
    </w:div>
    <w:div w:id="407575682">
      <w:bodyDiv w:val="1"/>
      <w:marLeft w:val="0"/>
      <w:marRight w:val="0"/>
      <w:marTop w:val="0"/>
      <w:marBottom w:val="0"/>
      <w:divBdr>
        <w:top w:val="none" w:sz="0" w:space="0" w:color="auto"/>
        <w:left w:val="none" w:sz="0" w:space="0" w:color="auto"/>
        <w:bottom w:val="none" w:sz="0" w:space="0" w:color="auto"/>
        <w:right w:val="none" w:sz="0" w:space="0" w:color="auto"/>
      </w:divBdr>
    </w:div>
    <w:div w:id="409931717">
      <w:bodyDiv w:val="1"/>
      <w:marLeft w:val="0"/>
      <w:marRight w:val="0"/>
      <w:marTop w:val="0"/>
      <w:marBottom w:val="0"/>
      <w:divBdr>
        <w:top w:val="none" w:sz="0" w:space="0" w:color="auto"/>
        <w:left w:val="none" w:sz="0" w:space="0" w:color="auto"/>
        <w:bottom w:val="none" w:sz="0" w:space="0" w:color="auto"/>
        <w:right w:val="none" w:sz="0" w:space="0" w:color="auto"/>
      </w:divBdr>
    </w:div>
    <w:div w:id="423844629">
      <w:bodyDiv w:val="1"/>
      <w:marLeft w:val="0"/>
      <w:marRight w:val="0"/>
      <w:marTop w:val="0"/>
      <w:marBottom w:val="0"/>
      <w:divBdr>
        <w:top w:val="none" w:sz="0" w:space="0" w:color="auto"/>
        <w:left w:val="none" w:sz="0" w:space="0" w:color="auto"/>
        <w:bottom w:val="none" w:sz="0" w:space="0" w:color="auto"/>
        <w:right w:val="none" w:sz="0" w:space="0" w:color="auto"/>
      </w:divBdr>
    </w:div>
    <w:div w:id="429932273">
      <w:bodyDiv w:val="1"/>
      <w:marLeft w:val="0"/>
      <w:marRight w:val="0"/>
      <w:marTop w:val="0"/>
      <w:marBottom w:val="0"/>
      <w:divBdr>
        <w:top w:val="none" w:sz="0" w:space="0" w:color="auto"/>
        <w:left w:val="none" w:sz="0" w:space="0" w:color="auto"/>
        <w:bottom w:val="none" w:sz="0" w:space="0" w:color="auto"/>
        <w:right w:val="none" w:sz="0" w:space="0" w:color="auto"/>
      </w:divBdr>
    </w:div>
    <w:div w:id="500968751">
      <w:bodyDiv w:val="1"/>
      <w:marLeft w:val="0"/>
      <w:marRight w:val="0"/>
      <w:marTop w:val="0"/>
      <w:marBottom w:val="0"/>
      <w:divBdr>
        <w:top w:val="none" w:sz="0" w:space="0" w:color="auto"/>
        <w:left w:val="none" w:sz="0" w:space="0" w:color="auto"/>
        <w:bottom w:val="none" w:sz="0" w:space="0" w:color="auto"/>
        <w:right w:val="none" w:sz="0" w:space="0" w:color="auto"/>
      </w:divBdr>
    </w:div>
    <w:div w:id="527448954">
      <w:bodyDiv w:val="1"/>
      <w:marLeft w:val="0"/>
      <w:marRight w:val="0"/>
      <w:marTop w:val="0"/>
      <w:marBottom w:val="0"/>
      <w:divBdr>
        <w:top w:val="none" w:sz="0" w:space="0" w:color="auto"/>
        <w:left w:val="none" w:sz="0" w:space="0" w:color="auto"/>
        <w:bottom w:val="none" w:sz="0" w:space="0" w:color="auto"/>
        <w:right w:val="none" w:sz="0" w:space="0" w:color="auto"/>
      </w:divBdr>
    </w:div>
    <w:div w:id="545988076">
      <w:bodyDiv w:val="1"/>
      <w:marLeft w:val="0"/>
      <w:marRight w:val="0"/>
      <w:marTop w:val="0"/>
      <w:marBottom w:val="0"/>
      <w:divBdr>
        <w:top w:val="none" w:sz="0" w:space="0" w:color="auto"/>
        <w:left w:val="none" w:sz="0" w:space="0" w:color="auto"/>
        <w:bottom w:val="none" w:sz="0" w:space="0" w:color="auto"/>
        <w:right w:val="none" w:sz="0" w:space="0" w:color="auto"/>
      </w:divBdr>
    </w:div>
    <w:div w:id="571546540">
      <w:bodyDiv w:val="1"/>
      <w:marLeft w:val="0"/>
      <w:marRight w:val="0"/>
      <w:marTop w:val="0"/>
      <w:marBottom w:val="0"/>
      <w:divBdr>
        <w:top w:val="none" w:sz="0" w:space="0" w:color="auto"/>
        <w:left w:val="none" w:sz="0" w:space="0" w:color="auto"/>
        <w:bottom w:val="none" w:sz="0" w:space="0" w:color="auto"/>
        <w:right w:val="none" w:sz="0" w:space="0" w:color="auto"/>
      </w:divBdr>
    </w:div>
    <w:div w:id="597522926">
      <w:bodyDiv w:val="1"/>
      <w:marLeft w:val="0"/>
      <w:marRight w:val="0"/>
      <w:marTop w:val="0"/>
      <w:marBottom w:val="0"/>
      <w:divBdr>
        <w:top w:val="none" w:sz="0" w:space="0" w:color="auto"/>
        <w:left w:val="none" w:sz="0" w:space="0" w:color="auto"/>
        <w:bottom w:val="none" w:sz="0" w:space="0" w:color="auto"/>
        <w:right w:val="none" w:sz="0" w:space="0" w:color="auto"/>
      </w:divBdr>
    </w:div>
    <w:div w:id="610434172">
      <w:bodyDiv w:val="1"/>
      <w:marLeft w:val="0"/>
      <w:marRight w:val="0"/>
      <w:marTop w:val="0"/>
      <w:marBottom w:val="0"/>
      <w:divBdr>
        <w:top w:val="none" w:sz="0" w:space="0" w:color="auto"/>
        <w:left w:val="none" w:sz="0" w:space="0" w:color="auto"/>
        <w:bottom w:val="none" w:sz="0" w:space="0" w:color="auto"/>
        <w:right w:val="none" w:sz="0" w:space="0" w:color="auto"/>
      </w:divBdr>
    </w:div>
    <w:div w:id="633411723">
      <w:bodyDiv w:val="1"/>
      <w:marLeft w:val="0"/>
      <w:marRight w:val="0"/>
      <w:marTop w:val="0"/>
      <w:marBottom w:val="0"/>
      <w:divBdr>
        <w:top w:val="none" w:sz="0" w:space="0" w:color="auto"/>
        <w:left w:val="none" w:sz="0" w:space="0" w:color="auto"/>
        <w:bottom w:val="none" w:sz="0" w:space="0" w:color="auto"/>
        <w:right w:val="none" w:sz="0" w:space="0" w:color="auto"/>
      </w:divBdr>
    </w:div>
    <w:div w:id="642392488">
      <w:bodyDiv w:val="1"/>
      <w:marLeft w:val="0"/>
      <w:marRight w:val="0"/>
      <w:marTop w:val="0"/>
      <w:marBottom w:val="0"/>
      <w:divBdr>
        <w:top w:val="none" w:sz="0" w:space="0" w:color="auto"/>
        <w:left w:val="none" w:sz="0" w:space="0" w:color="auto"/>
        <w:bottom w:val="none" w:sz="0" w:space="0" w:color="auto"/>
        <w:right w:val="none" w:sz="0" w:space="0" w:color="auto"/>
      </w:divBdr>
    </w:div>
    <w:div w:id="653602401">
      <w:bodyDiv w:val="1"/>
      <w:marLeft w:val="0"/>
      <w:marRight w:val="0"/>
      <w:marTop w:val="0"/>
      <w:marBottom w:val="0"/>
      <w:divBdr>
        <w:top w:val="none" w:sz="0" w:space="0" w:color="auto"/>
        <w:left w:val="none" w:sz="0" w:space="0" w:color="auto"/>
        <w:bottom w:val="none" w:sz="0" w:space="0" w:color="auto"/>
        <w:right w:val="none" w:sz="0" w:space="0" w:color="auto"/>
      </w:divBdr>
    </w:div>
    <w:div w:id="704449717">
      <w:bodyDiv w:val="1"/>
      <w:marLeft w:val="0"/>
      <w:marRight w:val="0"/>
      <w:marTop w:val="0"/>
      <w:marBottom w:val="0"/>
      <w:divBdr>
        <w:top w:val="none" w:sz="0" w:space="0" w:color="auto"/>
        <w:left w:val="none" w:sz="0" w:space="0" w:color="auto"/>
        <w:bottom w:val="none" w:sz="0" w:space="0" w:color="auto"/>
        <w:right w:val="none" w:sz="0" w:space="0" w:color="auto"/>
      </w:divBdr>
    </w:div>
    <w:div w:id="726490452">
      <w:bodyDiv w:val="1"/>
      <w:marLeft w:val="0"/>
      <w:marRight w:val="0"/>
      <w:marTop w:val="0"/>
      <w:marBottom w:val="0"/>
      <w:divBdr>
        <w:top w:val="none" w:sz="0" w:space="0" w:color="auto"/>
        <w:left w:val="none" w:sz="0" w:space="0" w:color="auto"/>
        <w:bottom w:val="none" w:sz="0" w:space="0" w:color="auto"/>
        <w:right w:val="none" w:sz="0" w:space="0" w:color="auto"/>
      </w:divBdr>
    </w:div>
    <w:div w:id="732773339">
      <w:bodyDiv w:val="1"/>
      <w:marLeft w:val="0"/>
      <w:marRight w:val="0"/>
      <w:marTop w:val="0"/>
      <w:marBottom w:val="0"/>
      <w:divBdr>
        <w:top w:val="none" w:sz="0" w:space="0" w:color="auto"/>
        <w:left w:val="none" w:sz="0" w:space="0" w:color="auto"/>
        <w:bottom w:val="none" w:sz="0" w:space="0" w:color="auto"/>
        <w:right w:val="none" w:sz="0" w:space="0" w:color="auto"/>
      </w:divBdr>
    </w:div>
    <w:div w:id="738749769">
      <w:bodyDiv w:val="1"/>
      <w:marLeft w:val="0"/>
      <w:marRight w:val="0"/>
      <w:marTop w:val="0"/>
      <w:marBottom w:val="0"/>
      <w:divBdr>
        <w:top w:val="none" w:sz="0" w:space="0" w:color="auto"/>
        <w:left w:val="none" w:sz="0" w:space="0" w:color="auto"/>
        <w:bottom w:val="none" w:sz="0" w:space="0" w:color="auto"/>
        <w:right w:val="none" w:sz="0" w:space="0" w:color="auto"/>
      </w:divBdr>
    </w:div>
    <w:div w:id="751849862">
      <w:bodyDiv w:val="1"/>
      <w:marLeft w:val="0"/>
      <w:marRight w:val="0"/>
      <w:marTop w:val="0"/>
      <w:marBottom w:val="0"/>
      <w:divBdr>
        <w:top w:val="none" w:sz="0" w:space="0" w:color="auto"/>
        <w:left w:val="none" w:sz="0" w:space="0" w:color="auto"/>
        <w:bottom w:val="none" w:sz="0" w:space="0" w:color="auto"/>
        <w:right w:val="none" w:sz="0" w:space="0" w:color="auto"/>
      </w:divBdr>
    </w:div>
    <w:div w:id="783616472">
      <w:bodyDiv w:val="1"/>
      <w:marLeft w:val="0"/>
      <w:marRight w:val="0"/>
      <w:marTop w:val="0"/>
      <w:marBottom w:val="0"/>
      <w:divBdr>
        <w:top w:val="none" w:sz="0" w:space="0" w:color="auto"/>
        <w:left w:val="none" w:sz="0" w:space="0" w:color="auto"/>
        <w:bottom w:val="none" w:sz="0" w:space="0" w:color="auto"/>
        <w:right w:val="none" w:sz="0" w:space="0" w:color="auto"/>
      </w:divBdr>
    </w:div>
    <w:div w:id="785580433">
      <w:bodyDiv w:val="1"/>
      <w:marLeft w:val="0"/>
      <w:marRight w:val="0"/>
      <w:marTop w:val="0"/>
      <w:marBottom w:val="0"/>
      <w:divBdr>
        <w:top w:val="none" w:sz="0" w:space="0" w:color="auto"/>
        <w:left w:val="none" w:sz="0" w:space="0" w:color="auto"/>
        <w:bottom w:val="none" w:sz="0" w:space="0" w:color="auto"/>
        <w:right w:val="none" w:sz="0" w:space="0" w:color="auto"/>
      </w:divBdr>
    </w:div>
    <w:div w:id="786970622">
      <w:bodyDiv w:val="1"/>
      <w:marLeft w:val="0"/>
      <w:marRight w:val="0"/>
      <w:marTop w:val="0"/>
      <w:marBottom w:val="0"/>
      <w:divBdr>
        <w:top w:val="none" w:sz="0" w:space="0" w:color="auto"/>
        <w:left w:val="none" w:sz="0" w:space="0" w:color="auto"/>
        <w:bottom w:val="none" w:sz="0" w:space="0" w:color="auto"/>
        <w:right w:val="none" w:sz="0" w:space="0" w:color="auto"/>
      </w:divBdr>
    </w:div>
    <w:div w:id="789857606">
      <w:bodyDiv w:val="1"/>
      <w:marLeft w:val="0"/>
      <w:marRight w:val="0"/>
      <w:marTop w:val="0"/>
      <w:marBottom w:val="0"/>
      <w:divBdr>
        <w:top w:val="none" w:sz="0" w:space="0" w:color="auto"/>
        <w:left w:val="none" w:sz="0" w:space="0" w:color="auto"/>
        <w:bottom w:val="none" w:sz="0" w:space="0" w:color="auto"/>
        <w:right w:val="none" w:sz="0" w:space="0" w:color="auto"/>
      </w:divBdr>
    </w:div>
    <w:div w:id="835263484">
      <w:bodyDiv w:val="1"/>
      <w:marLeft w:val="0"/>
      <w:marRight w:val="0"/>
      <w:marTop w:val="0"/>
      <w:marBottom w:val="0"/>
      <w:divBdr>
        <w:top w:val="none" w:sz="0" w:space="0" w:color="auto"/>
        <w:left w:val="none" w:sz="0" w:space="0" w:color="auto"/>
        <w:bottom w:val="none" w:sz="0" w:space="0" w:color="auto"/>
        <w:right w:val="none" w:sz="0" w:space="0" w:color="auto"/>
      </w:divBdr>
    </w:div>
    <w:div w:id="917326782">
      <w:bodyDiv w:val="1"/>
      <w:marLeft w:val="0"/>
      <w:marRight w:val="0"/>
      <w:marTop w:val="0"/>
      <w:marBottom w:val="0"/>
      <w:divBdr>
        <w:top w:val="none" w:sz="0" w:space="0" w:color="auto"/>
        <w:left w:val="none" w:sz="0" w:space="0" w:color="auto"/>
        <w:bottom w:val="none" w:sz="0" w:space="0" w:color="auto"/>
        <w:right w:val="none" w:sz="0" w:space="0" w:color="auto"/>
      </w:divBdr>
    </w:div>
    <w:div w:id="927736258">
      <w:bodyDiv w:val="1"/>
      <w:marLeft w:val="0"/>
      <w:marRight w:val="0"/>
      <w:marTop w:val="0"/>
      <w:marBottom w:val="0"/>
      <w:divBdr>
        <w:top w:val="none" w:sz="0" w:space="0" w:color="auto"/>
        <w:left w:val="none" w:sz="0" w:space="0" w:color="auto"/>
        <w:bottom w:val="none" w:sz="0" w:space="0" w:color="auto"/>
        <w:right w:val="none" w:sz="0" w:space="0" w:color="auto"/>
      </w:divBdr>
    </w:div>
    <w:div w:id="940380485">
      <w:bodyDiv w:val="1"/>
      <w:marLeft w:val="0"/>
      <w:marRight w:val="0"/>
      <w:marTop w:val="0"/>
      <w:marBottom w:val="0"/>
      <w:divBdr>
        <w:top w:val="none" w:sz="0" w:space="0" w:color="auto"/>
        <w:left w:val="none" w:sz="0" w:space="0" w:color="auto"/>
        <w:bottom w:val="none" w:sz="0" w:space="0" w:color="auto"/>
        <w:right w:val="none" w:sz="0" w:space="0" w:color="auto"/>
      </w:divBdr>
    </w:div>
    <w:div w:id="971983273">
      <w:bodyDiv w:val="1"/>
      <w:marLeft w:val="0"/>
      <w:marRight w:val="0"/>
      <w:marTop w:val="0"/>
      <w:marBottom w:val="0"/>
      <w:divBdr>
        <w:top w:val="none" w:sz="0" w:space="0" w:color="auto"/>
        <w:left w:val="none" w:sz="0" w:space="0" w:color="auto"/>
        <w:bottom w:val="none" w:sz="0" w:space="0" w:color="auto"/>
        <w:right w:val="none" w:sz="0" w:space="0" w:color="auto"/>
      </w:divBdr>
    </w:div>
    <w:div w:id="974800798">
      <w:bodyDiv w:val="1"/>
      <w:marLeft w:val="0"/>
      <w:marRight w:val="0"/>
      <w:marTop w:val="0"/>
      <w:marBottom w:val="0"/>
      <w:divBdr>
        <w:top w:val="none" w:sz="0" w:space="0" w:color="auto"/>
        <w:left w:val="none" w:sz="0" w:space="0" w:color="auto"/>
        <w:bottom w:val="none" w:sz="0" w:space="0" w:color="auto"/>
        <w:right w:val="none" w:sz="0" w:space="0" w:color="auto"/>
      </w:divBdr>
    </w:div>
    <w:div w:id="977150277">
      <w:bodyDiv w:val="1"/>
      <w:marLeft w:val="0"/>
      <w:marRight w:val="0"/>
      <w:marTop w:val="0"/>
      <w:marBottom w:val="0"/>
      <w:divBdr>
        <w:top w:val="none" w:sz="0" w:space="0" w:color="auto"/>
        <w:left w:val="none" w:sz="0" w:space="0" w:color="auto"/>
        <w:bottom w:val="none" w:sz="0" w:space="0" w:color="auto"/>
        <w:right w:val="none" w:sz="0" w:space="0" w:color="auto"/>
      </w:divBdr>
    </w:div>
    <w:div w:id="977298853">
      <w:bodyDiv w:val="1"/>
      <w:marLeft w:val="0"/>
      <w:marRight w:val="0"/>
      <w:marTop w:val="0"/>
      <w:marBottom w:val="0"/>
      <w:divBdr>
        <w:top w:val="none" w:sz="0" w:space="0" w:color="auto"/>
        <w:left w:val="none" w:sz="0" w:space="0" w:color="auto"/>
        <w:bottom w:val="none" w:sz="0" w:space="0" w:color="auto"/>
        <w:right w:val="none" w:sz="0" w:space="0" w:color="auto"/>
      </w:divBdr>
    </w:div>
    <w:div w:id="992291316">
      <w:bodyDiv w:val="1"/>
      <w:marLeft w:val="0"/>
      <w:marRight w:val="0"/>
      <w:marTop w:val="0"/>
      <w:marBottom w:val="0"/>
      <w:divBdr>
        <w:top w:val="none" w:sz="0" w:space="0" w:color="auto"/>
        <w:left w:val="none" w:sz="0" w:space="0" w:color="auto"/>
        <w:bottom w:val="none" w:sz="0" w:space="0" w:color="auto"/>
        <w:right w:val="none" w:sz="0" w:space="0" w:color="auto"/>
      </w:divBdr>
    </w:div>
    <w:div w:id="1028988033">
      <w:bodyDiv w:val="1"/>
      <w:marLeft w:val="0"/>
      <w:marRight w:val="0"/>
      <w:marTop w:val="0"/>
      <w:marBottom w:val="0"/>
      <w:divBdr>
        <w:top w:val="none" w:sz="0" w:space="0" w:color="auto"/>
        <w:left w:val="none" w:sz="0" w:space="0" w:color="auto"/>
        <w:bottom w:val="none" w:sz="0" w:space="0" w:color="auto"/>
        <w:right w:val="none" w:sz="0" w:space="0" w:color="auto"/>
      </w:divBdr>
    </w:div>
    <w:div w:id="1055542717">
      <w:bodyDiv w:val="1"/>
      <w:marLeft w:val="0"/>
      <w:marRight w:val="0"/>
      <w:marTop w:val="0"/>
      <w:marBottom w:val="0"/>
      <w:divBdr>
        <w:top w:val="none" w:sz="0" w:space="0" w:color="auto"/>
        <w:left w:val="none" w:sz="0" w:space="0" w:color="auto"/>
        <w:bottom w:val="none" w:sz="0" w:space="0" w:color="auto"/>
        <w:right w:val="none" w:sz="0" w:space="0" w:color="auto"/>
      </w:divBdr>
    </w:div>
    <w:div w:id="1085347457">
      <w:bodyDiv w:val="1"/>
      <w:marLeft w:val="0"/>
      <w:marRight w:val="0"/>
      <w:marTop w:val="0"/>
      <w:marBottom w:val="0"/>
      <w:divBdr>
        <w:top w:val="none" w:sz="0" w:space="0" w:color="auto"/>
        <w:left w:val="none" w:sz="0" w:space="0" w:color="auto"/>
        <w:bottom w:val="none" w:sz="0" w:space="0" w:color="auto"/>
        <w:right w:val="none" w:sz="0" w:space="0" w:color="auto"/>
      </w:divBdr>
    </w:div>
    <w:div w:id="1148084275">
      <w:bodyDiv w:val="1"/>
      <w:marLeft w:val="0"/>
      <w:marRight w:val="0"/>
      <w:marTop w:val="0"/>
      <w:marBottom w:val="0"/>
      <w:divBdr>
        <w:top w:val="none" w:sz="0" w:space="0" w:color="auto"/>
        <w:left w:val="none" w:sz="0" w:space="0" w:color="auto"/>
        <w:bottom w:val="none" w:sz="0" w:space="0" w:color="auto"/>
        <w:right w:val="none" w:sz="0" w:space="0" w:color="auto"/>
      </w:divBdr>
    </w:div>
    <w:div w:id="1164474856">
      <w:bodyDiv w:val="1"/>
      <w:marLeft w:val="0"/>
      <w:marRight w:val="0"/>
      <w:marTop w:val="0"/>
      <w:marBottom w:val="0"/>
      <w:divBdr>
        <w:top w:val="none" w:sz="0" w:space="0" w:color="auto"/>
        <w:left w:val="none" w:sz="0" w:space="0" w:color="auto"/>
        <w:bottom w:val="none" w:sz="0" w:space="0" w:color="auto"/>
        <w:right w:val="none" w:sz="0" w:space="0" w:color="auto"/>
      </w:divBdr>
    </w:div>
    <w:div w:id="1222669418">
      <w:bodyDiv w:val="1"/>
      <w:marLeft w:val="0"/>
      <w:marRight w:val="0"/>
      <w:marTop w:val="0"/>
      <w:marBottom w:val="0"/>
      <w:divBdr>
        <w:top w:val="none" w:sz="0" w:space="0" w:color="auto"/>
        <w:left w:val="none" w:sz="0" w:space="0" w:color="auto"/>
        <w:bottom w:val="none" w:sz="0" w:space="0" w:color="auto"/>
        <w:right w:val="none" w:sz="0" w:space="0" w:color="auto"/>
      </w:divBdr>
    </w:div>
    <w:div w:id="1272007174">
      <w:bodyDiv w:val="1"/>
      <w:marLeft w:val="0"/>
      <w:marRight w:val="0"/>
      <w:marTop w:val="0"/>
      <w:marBottom w:val="0"/>
      <w:divBdr>
        <w:top w:val="none" w:sz="0" w:space="0" w:color="auto"/>
        <w:left w:val="none" w:sz="0" w:space="0" w:color="auto"/>
        <w:bottom w:val="none" w:sz="0" w:space="0" w:color="auto"/>
        <w:right w:val="none" w:sz="0" w:space="0" w:color="auto"/>
      </w:divBdr>
    </w:div>
    <w:div w:id="1274216539">
      <w:bodyDiv w:val="1"/>
      <w:marLeft w:val="0"/>
      <w:marRight w:val="0"/>
      <w:marTop w:val="0"/>
      <w:marBottom w:val="0"/>
      <w:divBdr>
        <w:top w:val="none" w:sz="0" w:space="0" w:color="auto"/>
        <w:left w:val="none" w:sz="0" w:space="0" w:color="auto"/>
        <w:bottom w:val="none" w:sz="0" w:space="0" w:color="auto"/>
        <w:right w:val="none" w:sz="0" w:space="0" w:color="auto"/>
      </w:divBdr>
    </w:div>
    <w:div w:id="1320037122">
      <w:bodyDiv w:val="1"/>
      <w:marLeft w:val="0"/>
      <w:marRight w:val="0"/>
      <w:marTop w:val="0"/>
      <w:marBottom w:val="0"/>
      <w:divBdr>
        <w:top w:val="none" w:sz="0" w:space="0" w:color="auto"/>
        <w:left w:val="none" w:sz="0" w:space="0" w:color="auto"/>
        <w:bottom w:val="none" w:sz="0" w:space="0" w:color="auto"/>
        <w:right w:val="none" w:sz="0" w:space="0" w:color="auto"/>
      </w:divBdr>
    </w:div>
    <w:div w:id="1326519103">
      <w:bodyDiv w:val="1"/>
      <w:marLeft w:val="0"/>
      <w:marRight w:val="0"/>
      <w:marTop w:val="0"/>
      <w:marBottom w:val="0"/>
      <w:divBdr>
        <w:top w:val="none" w:sz="0" w:space="0" w:color="auto"/>
        <w:left w:val="none" w:sz="0" w:space="0" w:color="auto"/>
        <w:bottom w:val="none" w:sz="0" w:space="0" w:color="auto"/>
        <w:right w:val="none" w:sz="0" w:space="0" w:color="auto"/>
      </w:divBdr>
    </w:div>
    <w:div w:id="1328246837">
      <w:bodyDiv w:val="1"/>
      <w:marLeft w:val="0"/>
      <w:marRight w:val="0"/>
      <w:marTop w:val="0"/>
      <w:marBottom w:val="0"/>
      <w:divBdr>
        <w:top w:val="none" w:sz="0" w:space="0" w:color="auto"/>
        <w:left w:val="none" w:sz="0" w:space="0" w:color="auto"/>
        <w:bottom w:val="none" w:sz="0" w:space="0" w:color="auto"/>
        <w:right w:val="none" w:sz="0" w:space="0" w:color="auto"/>
      </w:divBdr>
    </w:div>
    <w:div w:id="1404453418">
      <w:bodyDiv w:val="1"/>
      <w:marLeft w:val="0"/>
      <w:marRight w:val="0"/>
      <w:marTop w:val="0"/>
      <w:marBottom w:val="0"/>
      <w:divBdr>
        <w:top w:val="none" w:sz="0" w:space="0" w:color="auto"/>
        <w:left w:val="none" w:sz="0" w:space="0" w:color="auto"/>
        <w:bottom w:val="none" w:sz="0" w:space="0" w:color="auto"/>
        <w:right w:val="none" w:sz="0" w:space="0" w:color="auto"/>
      </w:divBdr>
    </w:div>
    <w:div w:id="1413508946">
      <w:bodyDiv w:val="1"/>
      <w:marLeft w:val="0"/>
      <w:marRight w:val="0"/>
      <w:marTop w:val="0"/>
      <w:marBottom w:val="0"/>
      <w:divBdr>
        <w:top w:val="none" w:sz="0" w:space="0" w:color="auto"/>
        <w:left w:val="none" w:sz="0" w:space="0" w:color="auto"/>
        <w:bottom w:val="none" w:sz="0" w:space="0" w:color="auto"/>
        <w:right w:val="none" w:sz="0" w:space="0" w:color="auto"/>
      </w:divBdr>
    </w:div>
    <w:div w:id="1417821313">
      <w:bodyDiv w:val="1"/>
      <w:marLeft w:val="0"/>
      <w:marRight w:val="0"/>
      <w:marTop w:val="0"/>
      <w:marBottom w:val="0"/>
      <w:divBdr>
        <w:top w:val="none" w:sz="0" w:space="0" w:color="auto"/>
        <w:left w:val="none" w:sz="0" w:space="0" w:color="auto"/>
        <w:bottom w:val="none" w:sz="0" w:space="0" w:color="auto"/>
        <w:right w:val="none" w:sz="0" w:space="0" w:color="auto"/>
      </w:divBdr>
    </w:div>
    <w:div w:id="1453011818">
      <w:bodyDiv w:val="1"/>
      <w:marLeft w:val="0"/>
      <w:marRight w:val="0"/>
      <w:marTop w:val="0"/>
      <w:marBottom w:val="0"/>
      <w:divBdr>
        <w:top w:val="none" w:sz="0" w:space="0" w:color="auto"/>
        <w:left w:val="none" w:sz="0" w:space="0" w:color="auto"/>
        <w:bottom w:val="none" w:sz="0" w:space="0" w:color="auto"/>
        <w:right w:val="none" w:sz="0" w:space="0" w:color="auto"/>
      </w:divBdr>
    </w:div>
    <w:div w:id="1476529798">
      <w:bodyDiv w:val="1"/>
      <w:marLeft w:val="0"/>
      <w:marRight w:val="0"/>
      <w:marTop w:val="0"/>
      <w:marBottom w:val="0"/>
      <w:divBdr>
        <w:top w:val="none" w:sz="0" w:space="0" w:color="auto"/>
        <w:left w:val="none" w:sz="0" w:space="0" w:color="auto"/>
        <w:bottom w:val="none" w:sz="0" w:space="0" w:color="auto"/>
        <w:right w:val="none" w:sz="0" w:space="0" w:color="auto"/>
      </w:divBdr>
    </w:div>
    <w:div w:id="1482113898">
      <w:bodyDiv w:val="1"/>
      <w:marLeft w:val="0"/>
      <w:marRight w:val="0"/>
      <w:marTop w:val="0"/>
      <w:marBottom w:val="0"/>
      <w:divBdr>
        <w:top w:val="none" w:sz="0" w:space="0" w:color="auto"/>
        <w:left w:val="none" w:sz="0" w:space="0" w:color="auto"/>
        <w:bottom w:val="none" w:sz="0" w:space="0" w:color="auto"/>
        <w:right w:val="none" w:sz="0" w:space="0" w:color="auto"/>
      </w:divBdr>
    </w:div>
    <w:div w:id="1543246996">
      <w:bodyDiv w:val="1"/>
      <w:marLeft w:val="0"/>
      <w:marRight w:val="0"/>
      <w:marTop w:val="0"/>
      <w:marBottom w:val="0"/>
      <w:divBdr>
        <w:top w:val="none" w:sz="0" w:space="0" w:color="auto"/>
        <w:left w:val="none" w:sz="0" w:space="0" w:color="auto"/>
        <w:bottom w:val="none" w:sz="0" w:space="0" w:color="auto"/>
        <w:right w:val="none" w:sz="0" w:space="0" w:color="auto"/>
      </w:divBdr>
    </w:div>
    <w:div w:id="1566909272">
      <w:bodyDiv w:val="1"/>
      <w:marLeft w:val="0"/>
      <w:marRight w:val="0"/>
      <w:marTop w:val="0"/>
      <w:marBottom w:val="0"/>
      <w:divBdr>
        <w:top w:val="none" w:sz="0" w:space="0" w:color="auto"/>
        <w:left w:val="none" w:sz="0" w:space="0" w:color="auto"/>
        <w:bottom w:val="none" w:sz="0" w:space="0" w:color="auto"/>
        <w:right w:val="none" w:sz="0" w:space="0" w:color="auto"/>
      </w:divBdr>
    </w:div>
    <w:div w:id="1594322114">
      <w:bodyDiv w:val="1"/>
      <w:marLeft w:val="0"/>
      <w:marRight w:val="0"/>
      <w:marTop w:val="0"/>
      <w:marBottom w:val="0"/>
      <w:divBdr>
        <w:top w:val="none" w:sz="0" w:space="0" w:color="auto"/>
        <w:left w:val="none" w:sz="0" w:space="0" w:color="auto"/>
        <w:bottom w:val="none" w:sz="0" w:space="0" w:color="auto"/>
        <w:right w:val="none" w:sz="0" w:space="0" w:color="auto"/>
      </w:divBdr>
    </w:div>
    <w:div w:id="1602296321">
      <w:bodyDiv w:val="1"/>
      <w:marLeft w:val="0"/>
      <w:marRight w:val="0"/>
      <w:marTop w:val="0"/>
      <w:marBottom w:val="0"/>
      <w:divBdr>
        <w:top w:val="none" w:sz="0" w:space="0" w:color="auto"/>
        <w:left w:val="none" w:sz="0" w:space="0" w:color="auto"/>
        <w:bottom w:val="none" w:sz="0" w:space="0" w:color="auto"/>
        <w:right w:val="none" w:sz="0" w:space="0" w:color="auto"/>
      </w:divBdr>
    </w:div>
    <w:div w:id="1604605250">
      <w:bodyDiv w:val="1"/>
      <w:marLeft w:val="0"/>
      <w:marRight w:val="0"/>
      <w:marTop w:val="0"/>
      <w:marBottom w:val="0"/>
      <w:divBdr>
        <w:top w:val="none" w:sz="0" w:space="0" w:color="auto"/>
        <w:left w:val="none" w:sz="0" w:space="0" w:color="auto"/>
        <w:bottom w:val="none" w:sz="0" w:space="0" w:color="auto"/>
        <w:right w:val="none" w:sz="0" w:space="0" w:color="auto"/>
      </w:divBdr>
    </w:div>
    <w:div w:id="1618026270">
      <w:bodyDiv w:val="1"/>
      <w:marLeft w:val="0"/>
      <w:marRight w:val="0"/>
      <w:marTop w:val="0"/>
      <w:marBottom w:val="0"/>
      <w:divBdr>
        <w:top w:val="none" w:sz="0" w:space="0" w:color="auto"/>
        <w:left w:val="none" w:sz="0" w:space="0" w:color="auto"/>
        <w:bottom w:val="none" w:sz="0" w:space="0" w:color="auto"/>
        <w:right w:val="none" w:sz="0" w:space="0" w:color="auto"/>
      </w:divBdr>
    </w:div>
    <w:div w:id="1662075463">
      <w:bodyDiv w:val="1"/>
      <w:marLeft w:val="0"/>
      <w:marRight w:val="0"/>
      <w:marTop w:val="0"/>
      <w:marBottom w:val="0"/>
      <w:divBdr>
        <w:top w:val="none" w:sz="0" w:space="0" w:color="auto"/>
        <w:left w:val="none" w:sz="0" w:space="0" w:color="auto"/>
        <w:bottom w:val="none" w:sz="0" w:space="0" w:color="auto"/>
        <w:right w:val="none" w:sz="0" w:space="0" w:color="auto"/>
      </w:divBdr>
    </w:div>
    <w:div w:id="1676228307">
      <w:bodyDiv w:val="1"/>
      <w:marLeft w:val="0"/>
      <w:marRight w:val="0"/>
      <w:marTop w:val="0"/>
      <w:marBottom w:val="0"/>
      <w:divBdr>
        <w:top w:val="none" w:sz="0" w:space="0" w:color="auto"/>
        <w:left w:val="none" w:sz="0" w:space="0" w:color="auto"/>
        <w:bottom w:val="none" w:sz="0" w:space="0" w:color="auto"/>
        <w:right w:val="none" w:sz="0" w:space="0" w:color="auto"/>
      </w:divBdr>
    </w:div>
    <w:div w:id="1703479048">
      <w:bodyDiv w:val="1"/>
      <w:marLeft w:val="0"/>
      <w:marRight w:val="0"/>
      <w:marTop w:val="0"/>
      <w:marBottom w:val="0"/>
      <w:divBdr>
        <w:top w:val="none" w:sz="0" w:space="0" w:color="auto"/>
        <w:left w:val="none" w:sz="0" w:space="0" w:color="auto"/>
        <w:bottom w:val="none" w:sz="0" w:space="0" w:color="auto"/>
        <w:right w:val="none" w:sz="0" w:space="0" w:color="auto"/>
      </w:divBdr>
    </w:div>
    <w:div w:id="1708021619">
      <w:bodyDiv w:val="1"/>
      <w:marLeft w:val="0"/>
      <w:marRight w:val="0"/>
      <w:marTop w:val="0"/>
      <w:marBottom w:val="0"/>
      <w:divBdr>
        <w:top w:val="none" w:sz="0" w:space="0" w:color="auto"/>
        <w:left w:val="none" w:sz="0" w:space="0" w:color="auto"/>
        <w:bottom w:val="none" w:sz="0" w:space="0" w:color="auto"/>
        <w:right w:val="none" w:sz="0" w:space="0" w:color="auto"/>
      </w:divBdr>
    </w:div>
    <w:div w:id="1710642310">
      <w:bodyDiv w:val="1"/>
      <w:marLeft w:val="0"/>
      <w:marRight w:val="0"/>
      <w:marTop w:val="0"/>
      <w:marBottom w:val="0"/>
      <w:divBdr>
        <w:top w:val="none" w:sz="0" w:space="0" w:color="auto"/>
        <w:left w:val="none" w:sz="0" w:space="0" w:color="auto"/>
        <w:bottom w:val="none" w:sz="0" w:space="0" w:color="auto"/>
        <w:right w:val="none" w:sz="0" w:space="0" w:color="auto"/>
      </w:divBdr>
    </w:div>
    <w:div w:id="1731615782">
      <w:bodyDiv w:val="1"/>
      <w:marLeft w:val="0"/>
      <w:marRight w:val="0"/>
      <w:marTop w:val="0"/>
      <w:marBottom w:val="0"/>
      <w:divBdr>
        <w:top w:val="none" w:sz="0" w:space="0" w:color="auto"/>
        <w:left w:val="none" w:sz="0" w:space="0" w:color="auto"/>
        <w:bottom w:val="none" w:sz="0" w:space="0" w:color="auto"/>
        <w:right w:val="none" w:sz="0" w:space="0" w:color="auto"/>
      </w:divBdr>
    </w:div>
    <w:div w:id="1752118698">
      <w:bodyDiv w:val="1"/>
      <w:marLeft w:val="0"/>
      <w:marRight w:val="0"/>
      <w:marTop w:val="0"/>
      <w:marBottom w:val="0"/>
      <w:divBdr>
        <w:top w:val="none" w:sz="0" w:space="0" w:color="auto"/>
        <w:left w:val="none" w:sz="0" w:space="0" w:color="auto"/>
        <w:bottom w:val="none" w:sz="0" w:space="0" w:color="auto"/>
        <w:right w:val="none" w:sz="0" w:space="0" w:color="auto"/>
      </w:divBdr>
    </w:div>
    <w:div w:id="1783458762">
      <w:bodyDiv w:val="1"/>
      <w:marLeft w:val="0"/>
      <w:marRight w:val="0"/>
      <w:marTop w:val="0"/>
      <w:marBottom w:val="0"/>
      <w:divBdr>
        <w:top w:val="none" w:sz="0" w:space="0" w:color="auto"/>
        <w:left w:val="none" w:sz="0" w:space="0" w:color="auto"/>
        <w:bottom w:val="none" w:sz="0" w:space="0" w:color="auto"/>
        <w:right w:val="none" w:sz="0" w:space="0" w:color="auto"/>
      </w:divBdr>
    </w:div>
    <w:div w:id="1848597831">
      <w:bodyDiv w:val="1"/>
      <w:marLeft w:val="0"/>
      <w:marRight w:val="0"/>
      <w:marTop w:val="0"/>
      <w:marBottom w:val="0"/>
      <w:divBdr>
        <w:top w:val="none" w:sz="0" w:space="0" w:color="auto"/>
        <w:left w:val="none" w:sz="0" w:space="0" w:color="auto"/>
        <w:bottom w:val="none" w:sz="0" w:space="0" w:color="auto"/>
        <w:right w:val="none" w:sz="0" w:space="0" w:color="auto"/>
      </w:divBdr>
    </w:div>
    <w:div w:id="1859075280">
      <w:bodyDiv w:val="1"/>
      <w:marLeft w:val="0"/>
      <w:marRight w:val="0"/>
      <w:marTop w:val="0"/>
      <w:marBottom w:val="0"/>
      <w:divBdr>
        <w:top w:val="none" w:sz="0" w:space="0" w:color="auto"/>
        <w:left w:val="none" w:sz="0" w:space="0" w:color="auto"/>
        <w:bottom w:val="none" w:sz="0" w:space="0" w:color="auto"/>
        <w:right w:val="none" w:sz="0" w:space="0" w:color="auto"/>
      </w:divBdr>
    </w:div>
    <w:div w:id="1876457798">
      <w:bodyDiv w:val="1"/>
      <w:marLeft w:val="0"/>
      <w:marRight w:val="0"/>
      <w:marTop w:val="0"/>
      <w:marBottom w:val="0"/>
      <w:divBdr>
        <w:top w:val="none" w:sz="0" w:space="0" w:color="auto"/>
        <w:left w:val="none" w:sz="0" w:space="0" w:color="auto"/>
        <w:bottom w:val="none" w:sz="0" w:space="0" w:color="auto"/>
        <w:right w:val="none" w:sz="0" w:space="0" w:color="auto"/>
      </w:divBdr>
    </w:div>
    <w:div w:id="1879971424">
      <w:bodyDiv w:val="1"/>
      <w:marLeft w:val="0"/>
      <w:marRight w:val="0"/>
      <w:marTop w:val="0"/>
      <w:marBottom w:val="0"/>
      <w:divBdr>
        <w:top w:val="none" w:sz="0" w:space="0" w:color="auto"/>
        <w:left w:val="none" w:sz="0" w:space="0" w:color="auto"/>
        <w:bottom w:val="none" w:sz="0" w:space="0" w:color="auto"/>
        <w:right w:val="none" w:sz="0" w:space="0" w:color="auto"/>
      </w:divBdr>
    </w:div>
    <w:div w:id="1881699170">
      <w:bodyDiv w:val="1"/>
      <w:marLeft w:val="0"/>
      <w:marRight w:val="0"/>
      <w:marTop w:val="0"/>
      <w:marBottom w:val="0"/>
      <w:divBdr>
        <w:top w:val="none" w:sz="0" w:space="0" w:color="auto"/>
        <w:left w:val="none" w:sz="0" w:space="0" w:color="auto"/>
        <w:bottom w:val="none" w:sz="0" w:space="0" w:color="auto"/>
        <w:right w:val="none" w:sz="0" w:space="0" w:color="auto"/>
      </w:divBdr>
    </w:div>
    <w:div w:id="1893078866">
      <w:bodyDiv w:val="1"/>
      <w:marLeft w:val="0"/>
      <w:marRight w:val="0"/>
      <w:marTop w:val="0"/>
      <w:marBottom w:val="0"/>
      <w:divBdr>
        <w:top w:val="none" w:sz="0" w:space="0" w:color="auto"/>
        <w:left w:val="none" w:sz="0" w:space="0" w:color="auto"/>
        <w:bottom w:val="none" w:sz="0" w:space="0" w:color="auto"/>
        <w:right w:val="none" w:sz="0" w:space="0" w:color="auto"/>
      </w:divBdr>
    </w:div>
    <w:div w:id="1895193150">
      <w:bodyDiv w:val="1"/>
      <w:marLeft w:val="0"/>
      <w:marRight w:val="0"/>
      <w:marTop w:val="0"/>
      <w:marBottom w:val="0"/>
      <w:divBdr>
        <w:top w:val="none" w:sz="0" w:space="0" w:color="auto"/>
        <w:left w:val="none" w:sz="0" w:space="0" w:color="auto"/>
        <w:bottom w:val="none" w:sz="0" w:space="0" w:color="auto"/>
        <w:right w:val="none" w:sz="0" w:space="0" w:color="auto"/>
      </w:divBdr>
    </w:div>
    <w:div w:id="1913813421">
      <w:bodyDiv w:val="1"/>
      <w:marLeft w:val="0"/>
      <w:marRight w:val="0"/>
      <w:marTop w:val="0"/>
      <w:marBottom w:val="0"/>
      <w:divBdr>
        <w:top w:val="none" w:sz="0" w:space="0" w:color="auto"/>
        <w:left w:val="none" w:sz="0" w:space="0" w:color="auto"/>
        <w:bottom w:val="none" w:sz="0" w:space="0" w:color="auto"/>
        <w:right w:val="none" w:sz="0" w:space="0" w:color="auto"/>
      </w:divBdr>
    </w:div>
    <w:div w:id="1928229626">
      <w:bodyDiv w:val="1"/>
      <w:marLeft w:val="0"/>
      <w:marRight w:val="0"/>
      <w:marTop w:val="0"/>
      <w:marBottom w:val="0"/>
      <w:divBdr>
        <w:top w:val="none" w:sz="0" w:space="0" w:color="auto"/>
        <w:left w:val="none" w:sz="0" w:space="0" w:color="auto"/>
        <w:bottom w:val="none" w:sz="0" w:space="0" w:color="auto"/>
        <w:right w:val="none" w:sz="0" w:space="0" w:color="auto"/>
      </w:divBdr>
    </w:div>
    <w:div w:id="1948655570">
      <w:bodyDiv w:val="1"/>
      <w:marLeft w:val="0"/>
      <w:marRight w:val="0"/>
      <w:marTop w:val="0"/>
      <w:marBottom w:val="0"/>
      <w:divBdr>
        <w:top w:val="none" w:sz="0" w:space="0" w:color="auto"/>
        <w:left w:val="none" w:sz="0" w:space="0" w:color="auto"/>
        <w:bottom w:val="none" w:sz="0" w:space="0" w:color="auto"/>
        <w:right w:val="none" w:sz="0" w:space="0" w:color="auto"/>
      </w:divBdr>
    </w:div>
    <w:div w:id="1959406705">
      <w:bodyDiv w:val="1"/>
      <w:marLeft w:val="0"/>
      <w:marRight w:val="0"/>
      <w:marTop w:val="0"/>
      <w:marBottom w:val="0"/>
      <w:divBdr>
        <w:top w:val="none" w:sz="0" w:space="0" w:color="auto"/>
        <w:left w:val="none" w:sz="0" w:space="0" w:color="auto"/>
        <w:bottom w:val="none" w:sz="0" w:space="0" w:color="auto"/>
        <w:right w:val="none" w:sz="0" w:space="0" w:color="auto"/>
      </w:divBdr>
    </w:div>
    <w:div w:id="1973364547">
      <w:bodyDiv w:val="1"/>
      <w:marLeft w:val="0"/>
      <w:marRight w:val="0"/>
      <w:marTop w:val="0"/>
      <w:marBottom w:val="0"/>
      <w:divBdr>
        <w:top w:val="none" w:sz="0" w:space="0" w:color="auto"/>
        <w:left w:val="none" w:sz="0" w:space="0" w:color="auto"/>
        <w:bottom w:val="none" w:sz="0" w:space="0" w:color="auto"/>
        <w:right w:val="none" w:sz="0" w:space="0" w:color="auto"/>
      </w:divBdr>
    </w:div>
    <w:div w:id="1977371055">
      <w:bodyDiv w:val="1"/>
      <w:marLeft w:val="0"/>
      <w:marRight w:val="0"/>
      <w:marTop w:val="0"/>
      <w:marBottom w:val="0"/>
      <w:divBdr>
        <w:top w:val="none" w:sz="0" w:space="0" w:color="auto"/>
        <w:left w:val="none" w:sz="0" w:space="0" w:color="auto"/>
        <w:bottom w:val="none" w:sz="0" w:space="0" w:color="auto"/>
        <w:right w:val="none" w:sz="0" w:space="0" w:color="auto"/>
      </w:divBdr>
    </w:div>
    <w:div w:id="2005283869">
      <w:bodyDiv w:val="1"/>
      <w:marLeft w:val="0"/>
      <w:marRight w:val="0"/>
      <w:marTop w:val="0"/>
      <w:marBottom w:val="0"/>
      <w:divBdr>
        <w:top w:val="none" w:sz="0" w:space="0" w:color="auto"/>
        <w:left w:val="none" w:sz="0" w:space="0" w:color="auto"/>
        <w:bottom w:val="none" w:sz="0" w:space="0" w:color="auto"/>
        <w:right w:val="none" w:sz="0" w:space="0" w:color="auto"/>
      </w:divBdr>
    </w:div>
    <w:div w:id="2019963725">
      <w:bodyDiv w:val="1"/>
      <w:marLeft w:val="0"/>
      <w:marRight w:val="0"/>
      <w:marTop w:val="0"/>
      <w:marBottom w:val="0"/>
      <w:divBdr>
        <w:top w:val="none" w:sz="0" w:space="0" w:color="auto"/>
        <w:left w:val="none" w:sz="0" w:space="0" w:color="auto"/>
        <w:bottom w:val="none" w:sz="0" w:space="0" w:color="auto"/>
        <w:right w:val="none" w:sz="0" w:space="0" w:color="auto"/>
      </w:divBdr>
    </w:div>
    <w:div w:id="2074964669">
      <w:bodyDiv w:val="1"/>
      <w:marLeft w:val="0"/>
      <w:marRight w:val="0"/>
      <w:marTop w:val="0"/>
      <w:marBottom w:val="0"/>
      <w:divBdr>
        <w:top w:val="none" w:sz="0" w:space="0" w:color="auto"/>
        <w:left w:val="none" w:sz="0" w:space="0" w:color="auto"/>
        <w:bottom w:val="none" w:sz="0" w:space="0" w:color="auto"/>
        <w:right w:val="none" w:sz="0" w:space="0" w:color="auto"/>
      </w:divBdr>
    </w:div>
    <w:div w:id="2086343306">
      <w:bodyDiv w:val="1"/>
      <w:marLeft w:val="0"/>
      <w:marRight w:val="0"/>
      <w:marTop w:val="0"/>
      <w:marBottom w:val="0"/>
      <w:divBdr>
        <w:top w:val="none" w:sz="0" w:space="0" w:color="auto"/>
        <w:left w:val="none" w:sz="0" w:space="0" w:color="auto"/>
        <w:bottom w:val="none" w:sz="0" w:space="0" w:color="auto"/>
        <w:right w:val="none" w:sz="0" w:space="0" w:color="auto"/>
      </w:divBdr>
    </w:div>
    <w:div w:id="2091077096">
      <w:bodyDiv w:val="1"/>
      <w:marLeft w:val="0"/>
      <w:marRight w:val="0"/>
      <w:marTop w:val="0"/>
      <w:marBottom w:val="0"/>
      <w:divBdr>
        <w:top w:val="none" w:sz="0" w:space="0" w:color="auto"/>
        <w:left w:val="none" w:sz="0" w:space="0" w:color="auto"/>
        <w:bottom w:val="none" w:sz="0" w:space="0" w:color="auto"/>
        <w:right w:val="none" w:sz="0" w:space="0" w:color="auto"/>
      </w:divBdr>
    </w:div>
    <w:div w:id="2114664826">
      <w:bodyDiv w:val="1"/>
      <w:marLeft w:val="0"/>
      <w:marRight w:val="0"/>
      <w:marTop w:val="0"/>
      <w:marBottom w:val="0"/>
      <w:divBdr>
        <w:top w:val="none" w:sz="0" w:space="0" w:color="auto"/>
        <w:left w:val="none" w:sz="0" w:space="0" w:color="auto"/>
        <w:bottom w:val="none" w:sz="0" w:space="0" w:color="auto"/>
        <w:right w:val="none" w:sz="0" w:space="0" w:color="auto"/>
      </w:divBdr>
    </w:div>
    <w:div w:id="2117097118">
      <w:bodyDiv w:val="1"/>
      <w:marLeft w:val="0"/>
      <w:marRight w:val="0"/>
      <w:marTop w:val="0"/>
      <w:marBottom w:val="0"/>
      <w:divBdr>
        <w:top w:val="none" w:sz="0" w:space="0" w:color="auto"/>
        <w:left w:val="none" w:sz="0" w:space="0" w:color="auto"/>
        <w:bottom w:val="none" w:sz="0" w:space="0" w:color="auto"/>
        <w:right w:val="none" w:sz="0" w:space="0" w:color="auto"/>
      </w:divBdr>
    </w:div>
    <w:div w:id="2128891742">
      <w:bodyDiv w:val="1"/>
      <w:marLeft w:val="0"/>
      <w:marRight w:val="0"/>
      <w:marTop w:val="0"/>
      <w:marBottom w:val="0"/>
      <w:divBdr>
        <w:top w:val="none" w:sz="0" w:space="0" w:color="auto"/>
        <w:left w:val="none" w:sz="0" w:space="0" w:color="auto"/>
        <w:bottom w:val="none" w:sz="0" w:space="0" w:color="auto"/>
        <w:right w:val="none" w:sz="0" w:space="0" w:color="auto"/>
      </w:divBdr>
    </w:div>
    <w:div w:id="21394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terina.nugrahanti@uksw.edu*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journalfeb.unla.ac.id/index.php/jasa" TargetMode="External"/><Relationship Id="rId1" Type="http://schemas.openxmlformats.org/officeDocument/2006/relationships/hyperlink" Target="http://journalfeb.unla.ac.id/index.php/ja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EC7C-D929-4C13-A260-5E0717A7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14</Pages>
  <Words>23623</Words>
  <Characters>134653</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Aprilia Pasca Ratiningsih</dc:creator>
  <cp:keywords/>
  <dc:description/>
  <cp:lastModifiedBy>anisa pramestisifa</cp:lastModifiedBy>
  <cp:revision>27</cp:revision>
  <dcterms:created xsi:type="dcterms:W3CDTF">2023-04-11T05:23:00Z</dcterms:created>
  <dcterms:modified xsi:type="dcterms:W3CDTF">2023-05-01T01:36:00Z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40a2b5e8-e8a6-3163-be67-e098c866eb99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7b418fedf3a5f2109977805839aca4aaa2760481046825a0d61185b70085dd05</vt:lpwstr>
  </property>
</Properties>
</file>