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603A" w14:textId="77777777" w:rsidR="00630B20" w:rsidRPr="00311CEC" w:rsidRDefault="00630B20" w:rsidP="00311CEC">
      <w:pPr>
        <w:jc w:val="center"/>
        <w:rPr>
          <w:rFonts w:ascii="Arial" w:hAnsi="Arial" w:cs="Arial"/>
          <w:b/>
          <w:bCs/>
        </w:rPr>
      </w:pPr>
      <w:r w:rsidRPr="00311CEC">
        <w:rPr>
          <w:rFonts w:ascii="Arial" w:hAnsi="Arial" w:cs="Arial"/>
          <w:b/>
          <w:bCs/>
        </w:rPr>
        <w:t>THE INLFUENCE OF INTERNAL AUDIT ON FRAUD PREVENTION AT PERUM BULOG (COMPANY LOGISTIC BUSINESS AGENCY) BANDUNG CITY</w:t>
      </w:r>
    </w:p>
    <w:p w14:paraId="136B534F" w14:textId="77777777" w:rsidR="00630B20" w:rsidRPr="00311CEC" w:rsidRDefault="00630B20" w:rsidP="00311CEC">
      <w:pPr>
        <w:jc w:val="center"/>
        <w:rPr>
          <w:rFonts w:ascii="Arial" w:hAnsi="Arial" w:cs="Arial"/>
          <w:b/>
          <w:bCs/>
        </w:rPr>
      </w:pPr>
    </w:p>
    <w:p w14:paraId="1767C70F" w14:textId="77777777" w:rsidR="00630B20" w:rsidRPr="00311CEC" w:rsidRDefault="00630B20" w:rsidP="00311CEC">
      <w:pPr>
        <w:jc w:val="center"/>
        <w:rPr>
          <w:rFonts w:ascii="Arial" w:hAnsi="Arial" w:cs="Arial"/>
          <w:b/>
          <w:bCs/>
        </w:rPr>
      </w:pPr>
      <w:r w:rsidRPr="00311CEC">
        <w:rPr>
          <w:rFonts w:ascii="Arial" w:hAnsi="Arial" w:cs="Arial"/>
          <w:b/>
          <w:bCs/>
        </w:rPr>
        <w:t>Yuli Sri Rahayu</w:t>
      </w:r>
    </w:p>
    <w:p w14:paraId="034C3743" w14:textId="174680F9" w:rsidR="00630B20" w:rsidRPr="00311CEC" w:rsidRDefault="00311CEC" w:rsidP="00311CEC">
      <w:pPr>
        <w:pStyle w:val="Default"/>
        <w:jc w:val="center"/>
        <w:rPr>
          <w:rFonts w:ascii="Arial" w:hAnsi="Arial" w:cs="Arial"/>
          <w:sz w:val="22"/>
          <w:szCs w:val="22"/>
        </w:rPr>
      </w:pPr>
      <w:r>
        <w:rPr>
          <w:rFonts w:ascii="Arial" w:hAnsi="Arial" w:cs="Arial"/>
          <w:sz w:val="22"/>
          <w:szCs w:val="22"/>
          <w:lang w:val="en-US"/>
        </w:rPr>
        <w:t xml:space="preserve">Universitas </w:t>
      </w:r>
      <w:r w:rsidR="00630B20" w:rsidRPr="00311CEC">
        <w:rPr>
          <w:rFonts w:ascii="Arial" w:hAnsi="Arial" w:cs="Arial"/>
          <w:sz w:val="22"/>
          <w:szCs w:val="22"/>
        </w:rPr>
        <w:t>Padjadjaran, Indonesia</w:t>
      </w:r>
    </w:p>
    <w:p w14:paraId="1DF0AA48" w14:textId="77777777" w:rsidR="00630B20" w:rsidRPr="00311CEC" w:rsidRDefault="007555F7" w:rsidP="00311CEC">
      <w:pPr>
        <w:jc w:val="center"/>
        <w:rPr>
          <w:rFonts w:ascii="Arial" w:hAnsi="Arial" w:cs="Arial"/>
        </w:rPr>
      </w:pPr>
      <w:hyperlink r:id="rId8" w:history="1">
        <w:r w:rsidR="00630B20" w:rsidRPr="00311CEC">
          <w:rPr>
            <w:rStyle w:val="Hyperlink"/>
            <w:rFonts w:ascii="Arial" w:hAnsi="Arial" w:cs="Arial"/>
          </w:rPr>
          <w:t>Ayulirahayu@gmail.com</w:t>
        </w:r>
      </w:hyperlink>
    </w:p>
    <w:p w14:paraId="34C154B1" w14:textId="77777777" w:rsidR="00630B20" w:rsidRPr="00311CEC" w:rsidRDefault="00630B20" w:rsidP="00311CEC">
      <w:pPr>
        <w:jc w:val="center"/>
        <w:rPr>
          <w:rFonts w:ascii="Arial" w:hAnsi="Arial" w:cs="Arial"/>
        </w:rPr>
      </w:pPr>
    </w:p>
    <w:p w14:paraId="77DACE2F" w14:textId="77777777" w:rsidR="00630B20" w:rsidRPr="00311CEC" w:rsidRDefault="00630B20" w:rsidP="00311CEC">
      <w:pPr>
        <w:jc w:val="both"/>
        <w:rPr>
          <w:rFonts w:ascii="Arial" w:hAnsi="Arial" w:cs="Arial"/>
        </w:rPr>
      </w:pPr>
      <w:r w:rsidRPr="00311CEC">
        <w:rPr>
          <w:rFonts w:ascii="Arial" w:hAnsi="Arial" w:cs="Arial"/>
          <w:b/>
        </w:rPr>
        <w:t>Abstract :</w:t>
      </w:r>
      <w:r w:rsidRPr="00311CEC">
        <w:rPr>
          <w:rFonts w:ascii="Arial" w:hAnsi="Arial" w:cs="Arial"/>
        </w:rPr>
        <w:t xml:space="preserve"> This study aims to determine the effect of internal audit on fraud prevention at Perum Bulog Bandung. The factors tested in this study are the independent variable is internal audit, while the dependent variable is fraud prevention. The research method used is the verification method. The population in this study were employees of the Internal Supervisory Unit (SPI). The sampling technique used is a non-probability sampling technique with a total sampling technique so that the number of samples is 34 employees. The analytical method used is simple linear regression analysis using the SPSS Version 25.00 program. The results of the study indicate that internal audit and fraud prevention are included in the fairly good category. In addition, the results of hypothesis testing show that internal audit has an effect on preventing fraud at Perum Bulog, Bandung City. The magnitude of the influence of internal audit in contributing to fraud prevention is 31.5%.</w:t>
      </w:r>
    </w:p>
    <w:p w14:paraId="2024D0A5" w14:textId="77777777" w:rsidR="00630B20" w:rsidRPr="00311CEC" w:rsidRDefault="00630B20" w:rsidP="00311CEC">
      <w:pPr>
        <w:jc w:val="both"/>
        <w:rPr>
          <w:rFonts w:ascii="Arial" w:hAnsi="Arial" w:cs="Arial"/>
        </w:rPr>
      </w:pPr>
      <w:r w:rsidRPr="00311CEC">
        <w:rPr>
          <w:rFonts w:ascii="Arial" w:hAnsi="Arial" w:cs="Arial"/>
          <w:b/>
        </w:rPr>
        <w:t>Keywords:</w:t>
      </w:r>
      <w:r w:rsidRPr="00311CEC">
        <w:rPr>
          <w:rFonts w:ascii="Arial" w:hAnsi="Arial" w:cs="Arial"/>
        </w:rPr>
        <w:t xml:space="preserve"> Internal Audit, Fraud Prevention.</w:t>
      </w:r>
    </w:p>
    <w:p w14:paraId="4123234F" w14:textId="77777777" w:rsidR="00630B20" w:rsidRPr="00311CEC" w:rsidRDefault="00630B20" w:rsidP="00311CEC">
      <w:pPr>
        <w:rPr>
          <w:rFonts w:ascii="Arial" w:hAnsi="Arial" w:cs="Arial"/>
          <w:b/>
        </w:rPr>
      </w:pPr>
    </w:p>
    <w:p w14:paraId="447B3C54" w14:textId="77777777" w:rsidR="00630B20" w:rsidRPr="00311CEC" w:rsidRDefault="00630B20" w:rsidP="00311CEC">
      <w:pPr>
        <w:jc w:val="center"/>
        <w:rPr>
          <w:rFonts w:ascii="Arial" w:hAnsi="Arial" w:cs="Arial"/>
        </w:rPr>
      </w:pPr>
      <w:r w:rsidRPr="00311CEC">
        <w:rPr>
          <w:rFonts w:ascii="Arial" w:hAnsi="Arial" w:cs="Arial"/>
          <w:b/>
        </w:rPr>
        <w:t>I</w:t>
      </w:r>
      <w:r w:rsidRPr="00311CEC">
        <w:rPr>
          <w:rFonts w:ascii="Arial" w:hAnsi="Arial" w:cs="Arial"/>
          <w:b/>
          <w:bCs/>
        </w:rPr>
        <w:t>NTRODUCTION</w:t>
      </w:r>
    </w:p>
    <w:p w14:paraId="46C629C6" w14:textId="77777777" w:rsidR="00630B20" w:rsidRPr="00311CEC" w:rsidRDefault="00630B20" w:rsidP="00311CEC">
      <w:pPr>
        <w:ind w:firstLine="720"/>
        <w:jc w:val="both"/>
        <w:rPr>
          <w:rFonts w:ascii="Arial" w:hAnsi="Arial" w:cs="Arial"/>
        </w:rPr>
      </w:pPr>
      <w:r w:rsidRPr="00311CEC">
        <w:rPr>
          <w:rFonts w:ascii="Arial" w:hAnsi="Arial" w:cs="Arial"/>
        </w:rPr>
        <w:t xml:space="preserve">Basically every company aims to make a profit (profit oriented). However, the company in carrying out its activities will not be separated from the risk. Every organizational activity there must be uncertainty that is identical to risk, including the risk of fraud (Karyono, 2014:1). Fraud is defined as a deviation or unlawful act committed intentionally for a specific purpose. Cheating or giving the wrong thing for personal or group gain unfairly, either directly or indirectly harming other parties </w:t>
      </w:r>
      <w:r w:rsidRPr="00311CEC">
        <w:rPr>
          <w:rFonts w:ascii="Arial" w:hAnsi="Arial" w:cs="Arial"/>
        </w:rPr>
        <w:fldChar w:fldCharType="begin" w:fldLock="1"/>
      </w:r>
      <w:r w:rsidRPr="00311CEC">
        <w:rPr>
          <w:rFonts w:ascii="Arial" w:hAnsi="Arial" w:cs="Arial"/>
        </w:rPr>
        <w:instrText>ADDIN CSL_CITATION {"citationItems":[{"id":"ITEM-1","itemData":{"author":[{"dropping-particle":"","family":"Tugiman","given":"Hiro","non-dropping-particle":"","parse-names":false,"suffix":""}],"id":"ITEM-1","issued":{"date-parts":[["2014"]]},"publisher":"Kanisius","publisher-place":"Yogyakarta","title":"Standar Profesional Audit Internal","type":"book"},"uris":["http://www.mendeley.com/documents/?uuid=f38bff60-cf87-4da0-969b-46b4eb6de0a4"]}],"mendeley":{"formattedCitation":"(Tugiman, 2014)","manualFormatting":"(Tugiman, 2014:3)","plainTextFormattedCitation":"(Tugiman, 2014)","previouslyFormattedCitation":"(Tugiman,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(Tugiman, 2014:3)</w:t>
      </w:r>
      <w:r w:rsidRPr="00311CEC">
        <w:rPr>
          <w:rFonts w:ascii="Arial" w:hAnsi="Arial" w:cs="Arial"/>
        </w:rPr>
        <w:fldChar w:fldCharType="end"/>
      </w:r>
      <w:r w:rsidRPr="00311CEC">
        <w:rPr>
          <w:rFonts w:ascii="Arial" w:hAnsi="Arial" w:cs="Arial"/>
        </w:rPr>
        <w:t xml:space="preserve">. Three factors for someone to commit fraud, known as the fraud triangle, include pressure, opportunity, and rationalization </w:t>
      </w:r>
      <w:r w:rsidRPr="00311CEC">
        <w:rPr>
          <w:rFonts w:ascii="Arial" w:hAnsi="Arial" w:cs="Arial"/>
        </w:rPr>
        <w:fldChar w:fldCharType="begin" w:fldLock="1"/>
      </w:r>
      <w:r w:rsidRPr="00311CEC">
        <w:rPr>
          <w:rFonts w:ascii="Arial" w:hAnsi="Arial" w:cs="Arial"/>
        </w:rPr>
        <w:instrText>ADDIN CSL_CITATION {"citationItems":[{"id":"ITEM-1","itemData":{"author":[{"dropping-particle":"","family":"Arens","given":"Alvin A","non-dropping-particle":"","parse-names":false,"suffix":""},{"dropping-particle":"","family":"Elder","given":"Randal J","non-dropping-particle":"","parse-names":false,"suffix":""},{"dropping-particle":"","family":"Beasley","given":"Mark S","non-dropping-particle":"","parse-names":false,"suffix":""}],"edition":"Edisi 15","id":"ITEM-1","issued":{"date-parts":[["2014"]]},"publisher":"Erlangga","publisher-place":"Jakarta","title":"Auditing dan Jasa Assurance (terjemahan)","type":"book"},"uris":["http://www.mendeley.com/documents/?uuid=59dd8bb9-8631-4a3b-a712-e2c23212934b"]}],"mendeley":{"formattedCitation":"(Arens et al., 2014)","manualFormatting":"(Arens et al., 2014:340)","plainTextFormattedCitation":"(Arens et al., 2014)","previouslyFormattedCitation":"(Arens et al.,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(Arens et al., 2014:340)</w:t>
      </w:r>
      <w:r w:rsidRPr="00311CEC">
        <w:rPr>
          <w:rFonts w:ascii="Arial" w:hAnsi="Arial" w:cs="Arial"/>
        </w:rPr>
        <w:fldChar w:fldCharType="end"/>
      </w:r>
      <w:r w:rsidRPr="00311CEC">
        <w:rPr>
          <w:rFonts w:ascii="Arial" w:hAnsi="Arial" w:cs="Arial"/>
        </w:rPr>
        <w:t xml:space="preserve">. In Indonesia, cases of fraud still often occur in various companies, both private companies and state/regional-owned companies. Research results from the Association of Certified Fraud Examiners (ACFE) Global show that every year an average of 5% of the income of organizations in Indonesia become victims of fraud </w:t>
      </w:r>
      <w:r w:rsidRPr="00311CEC">
        <w:rPr>
          <w:rFonts w:ascii="Arial" w:hAnsi="Arial" w:cs="Arial"/>
        </w:rPr>
        <w:fldChar w:fldCharType="begin" w:fldLock="1"/>
      </w:r>
      <w:r w:rsidRPr="00311CEC">
        <w:rPr>
          <w:rFonts w:ascii="Arial" w:hAnsi="Arial" w:cs="Arial"/>
        </w:rPr>
        <w:instrText>ADDIN CSL_CITATION {"citationItems":[{"id":"ITEM-1","itemData":{"author":[{"dropping-particle":"","family":"(ACFE)","given":"Association of Certified Fraud Examiners","non-dropping-particle":"","parse-names":false,"suffix":""}],"id":"ITEM-1","issued":{"date-parts":[["2017"]]},"publisher":"ACFE Indonesian Chapter","publisher-place":"Jakarta","title":"Survey Fraud Indonesia 2017","type":"book"},"uris":["http://www.mendeley.com/documents/?uuid=9e41ca12-c1a8-4419-a6cd-5657d30fad86"]}],"mendeley":{"formattedCitation":"((ACFE), 2017)","manualFormatting":"(ACFE, 2017)","plainTextFormattedCitation":"((ACFE), 2017)","previouslyFormattedCitation":"((ACFE), 2017)"},"properties":{"noteIndex":0},"schema":"https://github.com/citation-style-language/schema/raw/master/csl-citation.json"}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(ACFE, 2017)</w:t>
      </w:r>
      <w:r w:rsidRPr="00311CEC">
        <w:rPr>
          <w:rFonts w:ascii="Arial" w:hAnsi="Arial" w:cs="Arial"/>
        </w:rPr>
        <w:fldChar w:fldCharType="end"/>
      </w:r>
      <w:r w:rsidRPr="00311CEC">
        <w:rPr>
          <w:rFonts w:ascii="Arial" w:hAnsi="Arial" w:cs="Arial"/>
        </w:rPr>
        <w:t>. Below will be presented the results of the last Indonesia Fraud Survey (SFI) in 2017 conducted by the ACFE Indonesian Chapter based on the following categories:</w:t>
      </w:r>
    </w:p>
    <w:p w14:paraId="3B3D60CE" w14:textId="4F543904" w:rsidR="00630B20" w:rsidRPr="00311CEC" w:rsidRDefault="00630B20" w:rsidP="00311CEC">
      <w:pPr>
        <w:jc w:val="center"/>
        <w:rPr>
          <w:rFonts w:ascii="Arial" w:hAnsi="Arial" w:cs="Arial"/>
        </w:rPr>
      </w:pPr>
      <w:r w:rsidRPr="00311CEC">
        <w:rPr>
          <w:rFonts w:ascii="Arial" w:hAnsi="Arial" w:cs="Arial"/>
          <w:noProof/>
          <w:lang w:eastAsia="id-ID"/>
        </w:rPr>
        <w:lastRenderedPageBreak/>
        <w:drawing>
          <wp:inline distT="0" distB="0" distL="0" distR="0" wp14:anchorId="681073A3" wp14:editId="12C76DA2">
            <wp:extent cx="4695825" cy="173355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B78A70" w14:textId="77777777" w:rsidR="00630B20" w:rsidRPr="00311CEC" w:rsidRDefault="00630B20" w:rsidP="00311CEC">
      <w:pPr>
        <w:jc w:val="both"/>
        <w:rPr>
          <w:rFonts w:ascii="Arial" w:hAnsi="Arial" w:cs="Arial"/>
        </w:rPr>
      </w:pPr>
      <w:r w:rsidRPr="00311CEC">
        <w:rPr>
          <w:rFonts w:ascii="Arial" w:hAnsi="Arial" w:cs="Arial"/>
        </w:rPr>
        <w:t xml:space="preserve">         </w:t>
      </w:r>
    </w:p>
    <w:p w14:paraId="6846CF17" w14:textId="77777777" w:rsidR="00630B20" w:rsidRPr="00311CEC" w:rsidRDefault="00630B20" w:rsidP="00311CEC">
      <w:pPr>
        <w:jc w:val="center"/>
        <w:rPr>
          <w:rFonts w:ascii="Arial" w:hAnsi="Arial" w:cs="Arial"/>
          <w:b/>
        </w:rPr>
      </w:pPr>
      <w:r w:rsidRPr="00311CEC">
        <w:rPr>
          <w:rFonts w:ascii="Arial" w:hAnsi="Arial" w:cs="Arial"/>
          <w:b/>
        </w:rPr>
        <w:t>Figure 1. Organizations/Institutions That Are Lost Due to Fraud in Indonesia</w:t>
      </w:r>
    </w:p>
    <w:p w14:paraId="7F838E7A" w14:textId="77777777" w:rsidR="00630B20" w:rsidRPr="00311CEC" w:rsidRDefault="00630B20" w:rsidP="00311CEC">
      <w:pPr>
        <w:jc w:val="center"/>
        <w:rPr>
          <w:rFonts w:ascii="Arial" w:hAnsi="Arial" w:cs="Arial"/>
          <w:sz w:val="20"/>
          <w:szCs w:val="20"/>
          <w:lang w:val="en-US"/>
        </w:rPr>
      </w:pPr>
      <w:r w:rsidRPr="00311CEC">
        <w:rPr>
          <w:rFonts w:ascii="Arial" w:hAnsi="Arial" w:cs="Arial"/>
          <w:sz w:val="20"/>
          <w:szCs w:val="20"/>
        </w:rPr>
        <w:t xml:space="preserve">Source: ACFE Indonesia Chapter </w:t>
      </w:r>
      <w:r w:rsidRPr="00311CEC">
        <w:rPr>
          <w:rFonts w:ascii="Arial" w:hAnsi="Arial" w:cs="Arial"/>
          <w:sz w:val="20"/>
          <w:szCs w:val="20"/>
          <w:lang w:val="en-US"/>
        </w:rPr>
        <w:t>(</w:t>
      </w:r>
      <w:r w:rsidRPr="00311CEC">
        <w:rPr>
          <w:rFonts w:ascii="Arial" w:hAnsi="Arial" w:cs="Arial"/>
          <w:sz w:val="20"/>
          <w:szCs w:val="20"/>
        </w:rPr>
        <w:t>2017</w:t>
      </w:r>
      <w:r w:rsidRPr="00311CEC">
        <w:rPr>
          <w:rFonts w:ascii="Arial" w:hAnsi="Arial" w:cs="Arial"/>
          <w:sz w:val="20"/>
          <w:szCs w:val="20"/>
          <w:lang w:val="en-US"/>
        </w:rPr>
        <w:t>)</w:t>
      </w:r>
    </w:p>
    <w:p w14:paraId="74FDD873" w14:textId="77777777" w:rsidR="00630B20" w:rsidRPr="00311CEC" w:rsidRDefault="00630B20" w:rsidP="00311CEC">
      <w:pPr>
        <w:jc w:val="center"/>
        <w:rPr>
          <w:rFonts w:ascii="Arial" w:hAnsi="Arial" w:cs="Arial"/>
          <w:b/>
        </w:rPr>
      </w:pPr>
    </w:p>
    <w:p w14:paraId="4965B6FA" w14:textId="77777777" w:rsidR="00630B20" w:rsidRPr="00311CEC" w:rsidRDefault="00630B20" w:rsidP="00311CEC">
      <w:pPr>
        <w:ind w:firstLine="720"/>
        <w:jc w:val="both"/>
        <w:rPr>
          <w:rFonts w:ascii="Arial" w:hAnsi="Arial" w:cs="Arial"/>
        </w:rPr>
      </w:pPr>
      <w:r w:rsidRPr="00311CEC">
        <w:rPr>
          <w:rFonts w:ascii="Arial" w:hAnsi="Arial" w:cs="Arial"/>
        </w:rPr>
        <w:t>Based on Figure 1. above, the results of a survey conducted by the ACFE Indonesia Chapter show that the organizations/institutions that suffer the most losses in this study are the government at 81.2%, state-owned companies/BUMN at 8.1%, private companies at 7.2 %, others 2.2%, and non-profit organizations/institutions 1.3%. The results of a survey conducted by the ACFE Indonesia Chapter show that the parties most disadvantaged by corruption are the government and state-owned companies.</w:t>
      </w:r>
    </w:p>
    <w:p w14:paraId="5E2970C1" w14:textId="77777777" w:rsidR="00630B20" w:rsidRPr="00311CEC" w:rsidRDefault="00630B20" w:rsidP="00311CEC">
      <w:pPr>
        <w:ind w:firstLine="720"/>
        <w:jc w:val="both"/>
        <w:rPr>
          <w:rFonts w:ascii="Arial" w:hAnsi="Arial" w:cs="Arial"/>
        </w:rPr>
      </w:pPr>
      <w:r w:rsidRPr="00311CEC">
        <w:rPr>
          <w:rFonts w:ascii="Arial" w:hAnsi="Arial" w:cs="Arial"/>
        </w:rPr>
        <w:t>One of the state-owned companies that has been proven to have committed fraud is Perum Bulog. Bulog is a state-owned public company engaged in food logistics. The company's business scope includes logistics/warehousing, surveys and pest control, supply of plastic bags, transportation business, food commodity trading and retail business. As a company that continues to carry out public duties from the government, Bulog continues to carry out activities to maintain the basic purchase price for grain, stabilize prices, especially basic prices, distribute rice for the poor (Raskin) and manage food stocks. Perum Bulog carries out business activities with several activities, including managing rice, sugar, soybeans, meat, fish and other commodities.</w:t>
      </w:r>
    </w:p>
    <w:p w14:paraId="76D79771" w14:textId="77777777" w:rsidR="00630B20" w:rsidRPr="00311CEC" w:rsidRDefault="00630B20" w:rsidP="00311CEC">
      <w:pPr>
        <w:ind w:firstLine="720"/>
        <w:jc w:val="both"/>
        <w:rPr>
          <w:rFonts w:ascii="Arial" w:hAnsi="Arial" w:cs="Arial"/>
        </w:rPr>
      </w:pPr>
      <w:r w:rsidRPr="00311CEC">
        <w:rPr>
          <w:rFonts w:ascii="Arial" w:hAnsi="Arial" w:cs="Arial"/>
        </w:rPr>
        <w:t xml:space="preserve">Information quoted from the 2016 www.liputan6.com article stated that the member of Commission VI DPR RI, Endang Srikarti Handayani, urged the Public Company Logistics Affairs Agency (Perum Bulog) to evaluate the distribution of Raskin or Rastra. The reason is that after the recess, Endang received complaints from the community, that the Raskin distributed was of poor quality. Even Raskin recipients are reluctant to consume Raskin from Bulog. Endang Srikarti Handayani asked Bulog management to be evaluated. This is because Bulog-Bulog in the regions whose performance is less reliable. It can be seen from the quality of the rice is not good, the quality is decreasing. Endang Srikarti Handayani asked the President Director of Bulog and his staff to conduct an internal evaluation. The source of the problem in distributing poor quality rice lies within Bulog, not rice production by farmers. According to Endang's inspection results, the rice was damaged due to poor storage. In addition, according to Endang, there are fraudulent practices between Bulog and rice middlemen, these two parties are considered to mix good rice with bad rice </w:t>
      </w:r>
      <w:r w:rsidRPr="00311CEC">
        <w:rPr>
          <w:rFonts w:ascii="Arial" w:hAnsi="Arial" w:cs="Arial"/>
        </w:rPr>
        <w:fldChar w:fldCharType="begin" w:fldLock="1"/>
      </w:r>
      <w:r w:rsidRPr="00311CEC">
        <w:rPr>
          <w:rFonts w:ascii="Arial" w:hAnsi="Arial" w:cs="Arial"/>
        </w:rPr>
        <w:instrText>ADDIN CSL_CITATION {"citationItems":[{"id":"ITEM-1","itemData":{"author":[{"dropping-particle":"","family":"Ayuningtyas","given":"Rita","non-dropping-particle":"","parse-names":false,"suffix":""}],"id":"ITEM-1","issued":{"date-parts":[["2018"]]},"title":"DPR Desak Bulog Evaluasi Pendistribusian Raskin","type":"article-newspaper"},"uris":["http://www.mendeley.com/documents/?uuid=8a3e26d7-8557-42d3-bf3f-75cf91e434fe"]}],"mendeley":{"formattedCitation":"(Ayuningtyas, 2018)","manualFormatting":"(Ayuningtyas, 2016)","plainTextFormattedCitation":"(Ayuningtyas, 2018)","previouslyFormattedCitation":"(Ayuningtyas, 2018)"},"properties":{"noteIndex":0},"schema":"https://github.com/citation-style-language/schema/raw/master/csl-citation.json"}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(Ayuningtyas, 2016)</w:t>
      </w:r>
      <w:r w:rsidRPr="00311CEC">
        <w:rPr>
          <w:rFonts w:ascii="Arial" w:hAnsi="Arial" w:cs="Arial"/>
        </w:rPr>
        <w:fldChar w:fldCharType="end"/>
      </w:r>
      <w:r w:rsidRPr="00311CEC">
        <w:rPr>
          <w:rFonts w:ascii="Arial" w:hAnsi="Arial" w:cs="Arial"/>
        </w:rPr>
        <w:t>.</w:t>
      </w:r>
    </w:p>
    <w:p w14:paraId="47D9C981" w14:textId="77777777" w:rsidR="00630B20" w:rsidRPr="00311CEC" w:rsidRDefault="00630B20" w:rsidP="00311CEC">
      <w:pPr>
        <w:ind w:firstLine="720"/>
        <w:jc w:val="both"/>
        <w:rPr>
          <w:rFonts w:ascii="Arial" w:hAnsi="Arial" w:cs="Arial"/>
        </w:rPr>
      </w:pPr>
      <w:r w:rsidRPr="00311CEC">
        <w:rPr>
          <w:rFonts w:ascii="Arial" w:hAnsi="Arial" w:cs="Arial"/>
        </w:rPr>
        <w:t xml:space="preserve">In addition, in 2019, there were still cases of fraud at Perum Bulog. Information quoted from the article www.inews.id stated that Perum Bulog had detected fraud in the </w:t>
      </w:r>
      <w:r w:rsidRPr="00311CEC">
        <w:rPr>
          <w:rFonts w:ascii="Arial" w:hAnsi="Arial" w:cs="Arial"/>
        </w:rPr>
        <w:lastRenderedPageBreak/>
        <w:t xml:space="preserve">distribution of non-cash food assistance (BPNT). One of the fraudulent modes carried out is to sell Bulog rice of medium quality, but it is faked into premium quality rice. Bulog's Managing Director, Budi Waseso, said that almost all poor people who are included in the Beneficiary Family (KPM) program have never received premium quality rice. In fact, they pay premium quality rice, but the rice they get is of medium quality. Budi Waseso explained that with the cheating mode, KPM gets rice with less volume while the price paid by KPM for medium rice is the same as premium rice. The fraud mode causes losses to the state of up to IDR 5 trillion per year, or the equivalent of 25 percent of the government's food aid budget this year, which is IDR 20.1 trillion. In addition to rice, Bulog also found fraud in the distribution of food aid packages. Buwas mentioned that many individuals had reduced the contents of the food aid package. Package costs IDR 110,000. In fact, the price that is sold is only IDR 70,000-76,000 per package </w:t>
      </w:r>
      <w:r w:rsidRPr="00311CEC">
        <w:rPr>
          <w:rFonts w:ascii="Arial" w:hAnsi="Arial" w:cs="Arial"/>
        </w:rPr>
        <w:fldChar w:fldCharType="begin" w:fldLock="1"/>
      </w:r>
      <w:r w:rsidRPr="00311CEC">
        <w:rPr>
          <w:rFonts w:ascii="Arial" w:hAnsi="Arial" w:cs="Arial"/>
        </w:rPr>
        <w:instrText>ADDIN CSL_CITATION {"citationItems":[{"id":"ITEM-1","itemData":{"author":[{"dropping-particle":"","family":"Ramli","given":"Rully","non-dropping-particle":"","parse-names":false,"suffix":""}],"id":"ITEM-1","issued":{"date-parts":[["2019"]]},"title":"Bongkar Kecurangan Penyaluran Beras BNPT, Buwas Sebut Negara Rugi RP 5 Triliun","type":"article-newspaper"},"uris":["http://www.mendeley.com/documents/?uuid=ac343c0a-31f4-43d1-8856-e76cb9e01d16"]}],"mendeley":{"formattedCitation":"(Ramli, 2019)","plainTextFormattedCitation":"(Ramli, 2019)","previouslyFormattedCitation":"(Ramli, 2019)"},"properties":{"noteIndex":0},"schema":"https://github.com/citation-style-language/schema/raw/master/csl-citation.json"}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(Ramli, 2019)</w:t>
      </w:r>
      <w:r w:rsidRPr="00311CEC">
        <w:rPr>
          <w:rFonts w:ascii="Arial" w:hAnsi="Arial" w:cs="Arial"/>
        </w:rPr>
        <w:fldChar w:fldCharType="end"/>
      </w:r>
      <w:r w:rsidRPr="00311CEC">
        <w:rPr>
          <w:rFonts w:ascii="Arial" w:hAnsi="Arial" w:cs="Arial"/>
        </w:rPr>
        <w:t>.</w:t>
      </w:r>
    </w:p>
    <w:p w14:paraId="091432A8" w14:textId="77777777" w:rsidR="00630B20" w:rsidRPr="00311CEC" w:rsidRDefault="00630B20" w:rsidP="00311CEC">
      <w:pPr>
        <w:ind w:firstLine="720"/>
        <w:jc w:val="both"/>
        <w:rPr>
          <w:rFonts w:ascii="Arial" w:hAnsi="Arial" w:cs="Arial"/>
        </w:rPr>
      </w:pPr>
      <w:r w:rsidRPr="00311CEC">
        <w:rPr>
          <w:rFonts w:ascii="Arial" w:hAnsi="Arial" w:cs="Arial"/>
        </w:rPr>
        <w:t xml:space="preserve">Based on some of the descriptions of the cases above, an activity is needed to prevent fraud. Fraud prevention is the most effective fraud fighting activity at a low cost, so it must be supported by all organizational actors </w:t>
      </w:r>
      <w:r w:rsidRPr="00311CEC">
        <w:rPr>
          <w:rFonts w:ascii="Arial" w:hAnsi="Arial" w:cs="Arial"/>
        </w:rPr>
        <w:fldChar w:fldCharType="begin" w:fldLock="1"/>
      </w:r>
      <w:r w:rsidRPr="00311CEC">
        <w:rPr>
          <w:rFonts w:ascii="Arial" w:hAnsi="Arial" w:cs="Arial"/>
        </w:rPr>
        <w:instrText>ADDIN CSL_CITATION {"citationItems":[{"id":"ITEM-1","itemData":{"author":[{"dropping-particle":"","family":"Karyono","given":"","non-dropping-particle":"","parse-names":false,"suffix":""}],"id":"ITEM-1","issued":{"date-parts":[["2014"]]},"publisher":"CV. Andi","publisher-place":"Yogyakarta","title":"Forensic Fraud","type":"book"},"uris":["http://www.mendeley.com/documents/?uuid=c6bf9051-2af7-400e-b14c-60b31bc922c5"]}],"mendeley":{"formattedCitation":"(Karyono, 2014)","manualFormatting":"(Karyono, 2014:87)","plainTextFormattedCitation":"(Karyono, 2014)","previouslyFormattedCitation":"(Karyono,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(Karyono, 2014:87)</w:t>
      </w:r>
      <w:r w:rsidRPr="00311CEC">
        <w:rPr>
          <w:rFonts w:ascii="Arial" w:hAnsi="Arial" w:cs="Arial"/>
        </w:rPr>
        <w:fldChar w:fldCharType="end"/>
      </w:r>
      <w:r w:rsidRPr="00311CEC">
        <w:rPr>
          <w:rFonts w:ascii="Arial" w:hAnsi="Arial" w:cs="Arial"/>
        </w:rPr>
        <w:t>. Below are the results of the last 2017 Indonesian Fraud Survey (SFI) conducted by the ACFE Indonesian Chapter based on the following categories:</w:t>
      </w:r>
    </w:p>
    <w:p w14:paraId="66E813DF" w14:textId="77777777" w:rsidR="00630B20" w:rsidRPr="00311CEC" w:rsidRDefault="00630B20" w:rsidP="00311CEC">
      <w:pPr>
        <w:ind w:firstLine="720"/>
        <w:jc w:val="both"/>
        <w:rPr>
          <w:rFonts w:ascii="Arial" w:hAnsi="Arial" w:cs="Arial"/>
        </w:rPr>
      </w:pPr>
    </w:p>
    <w:p w14:paraId="704F3EBB" w14:textId="15F56BF5" w:rsidR="00630B20" w:rsidRPr="00311CEC" w:rsidRDefault="00630B20" w:rsidP="00311CEC">
      <w:pPr>
        <w:rPr>
          <w:rFonts w:ascii="Arial" w:hAnsi="Arial" w:cs="Arial"/>
        </w:rPr>
      </w:pPr>
      <w:r w:rsidRPr="00311CEC">
        <w:rPr>
          <w:rFonts w:ascii="Arial" w:hAnsi="Arial" w:cs="Arial"/>
          <w:noProof/>
          <w:lang w:eastAsia="id-ID"/>
        </w:rPr>
        <w:drawing>
          <wp:inline distT="0" distB="0" distL="0" distR="0" wp14:anchorId="5A313371" wp14:editId="787AB16C">
            <wp:extent cx="5667375" cy="25241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267B47" w14:textId="77777777" w:rsidR="00630B20" w:rsidRPr="00311CEC" w:rsidRDefault="00630B20" w:rsidP="00311CEC">
      <w:pPr>
        <w:jc w:val="center"/>
        <w:rPr>
          <w:rFonts w:ascii="Arial" w:hAnsi="Arial" w:cs="Arial"/>
          <w:b/>
        </w:rPr>
      </w:pPr>
      <w:r w:rsidRPr="00311CEC">
        <w:rPr>
          <w:rFonts w:ascii="Arial" w:hAnsi="Arial" w:cs="Arial"/>
          <w:b/>
        </w:rPr>
        <w:t>Figure 2. Fraud Discovery Media</w:t>
      </w:r>
    </w:p>
    <w:p w14:paraId="7E5429A2" w14:textId="77777777" w:rsidR="00630B20" w:rsidRPr="00311CEC" w:rsidRDefault="00630B20" w:rsidP="00311CEC">
      <w:pPr>
        <w:jc w:val="center"/>
        <w:rPr>
          <w:rFonts w:ascii="Arial" w:hAnsi="Arial" w:cs="Arial"/>
          <w:sz w:val="20"/>
          <w:szCs w:val="20"/>
          <w:lang w:val="en-US"/>
        </w:rPr>
      </w:pPr>
      <w:r w:rsidRPr="00311CEC">
        <w:rPr>
          <w:rFonts w:ascii="Arial" w:hAnsi="Arial" w:cs="Arial"/>
          <w:sz w:val="20"/>
          <w:szCs w:val="20"/>
        </w:rPr>
        <w:t xml:space="preserve">Source: ACFE Indonesian Chapter </w:t>
      </w:r>
      <w:r w:rsidRPr="00311CEC">
        <w:rPr>
          <w:rFonts w:ascii="Arial" w:hAnsi="Arial" w:cs="Arial"/>
          <w:sz w:val="20"/>
          <w:szCs w:val="20"/>
          <w:lang w:val="en-US"/>
        </w:rPr>
        <w:t>(</w:t>
      </w:r>
      <w:r w:rsidRPr="00311CEC">
        <w:rPr>
          <w:rFonts w:ascii="Arial" w:hAnsi="Arial" w:cs="Arial"/>
          <w:sz w:val="20"/>
          <w:szCs w:val="20"/>
        </w:rPr>
        <w:t>2017</w:t>
      </w:r>
      <w:r w:rsidRPr="00311CEC">
        <w:rPr>
          <w:rFonts w:ascii="Arial" w:hAnsi="Arial" w:cs="Arial"/>
          <w:sz w:val="20"/>
          <w:szCs w:val="20"/>
          <w:lang w:val="en-US"/>
        </w:rPr>
        <w:t>)</w:t>
      </w:r>
    </w:p>
    <w:p w14:paraId="7DCE19B1" w14:textId="77777777" w:rsidR="00630B20" w:rsidRPr="00311CEC" w:rsidRDefault="00630B20" w:rsidP="00311CEC">
      <w:pPr>
        <w:jc w:val="center"/>
        <w:rPr>
          <w:rFonts w:ascii="Arial" w:hAnsi="Arial" w:cs="Arial"/>
          <w:b/>
        </w:rPr>
      </w:pPr>
    </w:p>
    <w:p w14:paraId="66BCA697" w14:textId="77777777" w:rsidR="00630B20" w:rsidRPr="00311CEC" w:rsidRDefault="00630B20" w:rsidP="00311CEC">
      <w:pPr>
        <w:ind w:firstLine="720"/>
        <w:jc w:val="both"/>
        <w:rPr>
          <w:rFonts w:ascii="Arial" w:hAnsi="Arial" w:cs="Arial"/>
        </w:rPr>
      </w:pPr>
      <w:r w:rsidRPr="00311CEC">
        <w:rPr>
          <w:rFonts w:ascii="Arial" w:hAnsi="Arial" w:cs="Arial"/>
        </w:rPr>
        <w:t xml:space="preserve">Based on Figure 2. above, the results of a survey conducted by the ACFE Indonesia Chapter show that internal audit is one of the most important media that companies can use to find fraudulent practices in the company. Therefore, to minimize the occurrence of fraud in the company, it is important for companies to increase the effectiveness of the implementation of internal audits. Basically internal audit is an independent, objective assurance, and consulting activity designed to add value and improve an organization's operations. This internal audit helps the organization achieve its objectives by taking a systematic and disciplined approach to evaluate and improve </w:t>
      </w:r>
      <w:r w:rsidRPr="00311CEC">
        <w:rPr>
          <w:rFonts w:ascii="Arial" w:hAnsi="Arial" w:cs="Arial"/>
        </w:rPr>
        <w:lastRenderedPageBreak/>
        <w:t xml:space="preserve">the effectiveness of risk management, control, and governance processes. Internal audit helps organizations achieve their goals by taking a systematic and disciplined approach to evaluate and improve the effectiveness of risk management, control, and governance processes </w:t>
      </w:r>
      <w:r w:rsidRPr="00311CEC">
        <w:rPr>
          <w:rFonts w:ascii="Arial" w:hAnsi="Arial" w:cs="Arial"/>
        </w:rPr>
        <w:fldChar w:fldCharType="begin" w:fldLock="1"/>
      </w:r>
      <w:r w:rsidRPr="00311CEC">
        <w:rPr>
          <w:rFonts w:ascii="Arial" w:hAnsi="Arial" w:cs="Arial"/>
        </w:rPr>
        <w:instrText>ADDIN CSL_CITATION {"citationItems":[{"id":"ITEM-1","itemData":{"author":[{"dropping-particle":"","family":"Reding","given":"K R","non-dropping-particle":"","parse-names":false,"suffix":""},{"dropping-particle":"","family":"Sobel","given":"Paul J","non-dropping-particle":"","parse-names":false,"suffix":""},{"dropping-particle":"","family":"Anderson","given":"Urton L","non-dropping-particle":"","parse-names":false,"suffix":""}],"edition":"Third Edit","id":"ITEM-1","issued":{"date-parts":[["2013"]]},"publisher":"The Institute of Internal Auditors ResearchFoundation (IIARF)","publisher-place":"Unites Stated Of America","title":"Internal Auditing: Assurance &amp; Advisory Services.","type":"book"},"uris":["http://www.mendeley.com/documents/?uuid=2bf47a1f-8d81-459f-8e09-e9aed573e6c5"]}],"mendeley":{"formattedCitation":"(Reding et al., 2013)","manualFormatting":"(Reding et al., 2013:2)","plainTextFormattedCitation":"(Reding et al., 2013)","previouslyFormattedCitation":"(Reding et al., 2013)"},"properties":{"noteIndex":0},"schema":"https://github.com/citation-style-language/schema/raw/master/csl-citation.json"}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(Reding et al., 2013:2)</w:t>
      </w:r>
      <w:r w:rsidRPr="00311CEC">
        <w:rPr>
          <w:rFonts w:ascii="Arial" w:hAnsi="Arial" w:cs="Arial"/>
        </w:rPr>
        <w:fldChar w:fldCharType="end"/>
      </w:r>
      <w:r w:rsidRPr="00311CEC">
        <w:rPr>
          <w:rFonts w:ascii="Arial" w:hAnsi="Arial" w:cs="Arial"/>
        </w:rPr>
        <w:t xml:space="preserve">. The purpose of conducting an internal audit is to assist members of the organization so that they can carry out their responsibilities effectively. The objectives of internal auditing also include developing effective controls at a reasonable cost. The internal audit function is an independent assessment function within an organization to examine or study and assess company activities to provide suggestions to management so that their responsibilities can be carried out effectively </w:t>
      </w:r>
      <w:r w:rsidRPr="00311CEC">
        <w:rPr>
          <w:rFonts w:ascii="Arial" w:hAnsi="Arial" w:cs="Arial"/>
        </w:rPr>
        <w:fldChar w:fldCharType="begin" w:fldLock="1"/>
      </w:r>
      <w:r w:rsidRPr="00311CEC">
        <w:rPr>
          <w:rFonts w:ascii="Arial" w:hAnsi="Arial" w:cs="Arial"/>
        </w:rPr>
        <w:instrText>ADDIN CSL_CITATION {"citationItems":[{"id":"ITEM-1","itemData":{"author":[{"dropping-particle":"","family":"Tugiman","given":"Hiro","non-dropping-particle":"","parse-names":false,"suffix":""}],"id":"ITEM-1","issued":{"date-parts":[["2014"]]},"publisher":"Kanisius","publisher-place":"Yogyakarta","title":"Standar Profesional Audit Internal","type":"book"},"uris":["http://www.mendeley.com/documents/?uuid=f38bff60-cf87-4da0-969b-46b4eb6de0a4"]}],"mendeley":{"formattedCitation":"(Tugiman, 2014)","manualFormatting":"(Tugiman, 2014:11)","plainTextFormattedCitation":"(Tugiman, 2014)","previouslyFormattedCitation":"(Tugiman,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(Tugiman, 2014:11)</w:t>
      </w:r>
      <w:r w:rsidRPr="00311CEC">
        <w:rPr>
          <w:rFonts w:ascii="Arial" w:hAnsi="Arial" w:cs="Arial"/>
        </w:rPr>
        <w:fldChar w:fldCharType="end"/>
      </w:r>
      <w:r w:rsidRPr="00311CEC">
        <w:rPr>
          <w:rFonts w:ascii="Arial" w:hAnsi="Arial" w:cs="Arial"/>
        </w:rPr>
        <w:t>.</w:t>
      </w:r>
    </w:p>
    <w:p w14:paraId="6E4FE278" w14:textId="77777777" w:rsidR="00630B20" w:rsidRPr="00311CEC" w:rsidRDefault="00630B20" w:rsidP="00311CEC">
      <w:pPr>
        <w:ind w:firstLine="720"/>
        <w:jc w:val="both"/>
        <w:rPr>
          <w:rFonts w:ascii="Arial" w:hAnsi="Arial" w:cs="Arial"/>
        </w:rPr>
      </w:pPr>
      <w:r w:rsidRPr="00311CEC">
        <w:rPr>
          <w:rFonts w:ascii="Arial" w:hAnsi="Arial" w:cs="Arial"/>
        </w:rPr>
        <w:t xml:space="preserve">Internal audit is an independent assessment function established within an organization to examine and evaluate as a service to the organization </w:t>
      </w:r>
      <w:r w:rsidRPr="00311CEC">
        <w:rPr>
          <w:rFonts w:ascii="Arial" w:hAnsi="Arial" w:cs="Arial"/>
        </w:rPr>
        <w:fldChar w:fldCharType="begin" w:fldLock="1"/>
      </w:r>
      <w:r w:rsidRPr="00311CEC">
        <w:rPr>
          <w:rFonts w:ascii="Arial" w:hAnsi="Arial" w:cs="Arial"/>
        </w:rPr>
        <w:instrText>ADDIN CSL_CITATION {"citationItems":[{"id":"ITEM-1","itemData":{"author":[{"dropping-particle":"","family":"(IIA)","given":"The Institute of Internal Auditors","non-dropping-particle":"","parse-names":false,"suffix":""}],"id":"ITEM-1","issued":{"date-parts":[["2017"]]},"publisher":"The Institute of Internal Auditors","publisher-place":"Jakarta","title":"Standar Internasional Praktik Profesional Audit Internal","type":"book"},"uris":["http://www.mendeley.com/documents/?uuid=5e08776f-01d4-4c16-9c5c-69d203a05d9c"]}],"mendeley":{"formattedCitation":"((IIA), 2017)","manualFormatting":"(IIA, 2017:2)","plainTextFormattedCitation":"((IIA), 2017)","previouslyFormattedCitation":"((IIA), 2017)"},"properties":{"noteIndex":0},"schema":"https://github.com/citation-style-language/schema/raw/master/csl-citation.json"}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(IIA, 2017:2)</w:t>
      </w:r>
      <w:r w:rsidRPr="00311CEC">
        <w:rPr>
          <w:rFonts w:ascii="Arial" w:hAnsi="Arial" w:cs="Arial"/>
        </w:rPr>
        <w:fldChar w:fldCharType="end"/>
      </w:r>
      <w:r w:rsidRPr="00311CEC">
        <w:rPr>
          <w:rFonts w:ascii="Arial" w:hAnsi="Arial" w:cs="Arial"/>
        </w:rPr>
        <w:t xml:space="preserve">. Internal audit has a standard called the International Standards for the Professional Practice of Internal Auditing. International Standards for the Professional Practice of Internal Auditing consist of attribute standards, performance standards, and implementation standards. In this study, performance standards are used as a measurement of the extent to which internal auditing is carried out (IIA, 2017:5). According to The Institute of Internal Auditors </w:t>
      </w:r>
      <w:r w:rsidRPr="00311CEC">
        <w:rPr>
          <w:rFonts w:ascii="Arial" w:hAnsi="Arial" w:cs="Arial"/>
        </w:rPr>
        <w:fldChar w:fldCharType="begin" w:fldLock="1"/>
      </w:r>
      <w:r w:rsidRPr="00311CEC">
        <w:rPr>
          <w:rFonts w:ascii="Arial" w:hAnsi="Arial" w:cs="Arial"/>
        </w:rPr>
        <w:instrText>ADDIN CSL_CITATION {"citationItems":[{"id":"ITEM-1","itemData":{"author":[{"dropping-particle":"","family":"(IIA)","given":"The Institute of Internal Auditors","non-dropping-particle":"","parse-names":false,"suffix":""}],"id":"ITEM-1","issued":{"date-parts":[["2017"]]},"publisher":"The Institute of Internal Auditors","publisher-place":"Jakarta","title":"Standar Internasional Praktik Profesional Audit Internal","type":"book"},"uris":["http://www.mendeley.com/documents/?uuid=5e08776f-01d4-4c16-9c5c-69d203a05d9c"]}],"mendeley":{"formattedCitation":"((IIA), 2017)","manualFormatting":"(IIA) (2017:19) ","plainTextFormattedCitation":"((IIA), 2017)","previouslyFormattedCitation":"((IIA), 2017)"},"properties":{"noteIndex":0},"schema":"https://github.com/citation-style-language/schema/raw/master/csl-citation.json"}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 xml:space="preserve">(IIA) (2017:19) </w:t>
      </w:r>
      <w:r w:rsidRPr="00311CEC">
        <w:rPr>
          <w:rFonts w:ascii="Arial" w:hAnsi="Arial" w:cs="Arial"/>
        </w:rPr>
        <w:fldChar w:fldCharType="end"/>
      </w:r>
      <w:r w:rsidRPr="00311CEC">
        <w:rPr>
          <w:rFonts w:ascii="Arial" w:hAnsi="Arial" w:cs="Arial"/>
        </w:rPr>
        <w:t>it states that internal audit indicators are based on performance standards, namely as follows:</w:t>
      </w:r>
    </w:p>
    <w:p w14:paraId="09AFF9DA"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Manage Internal Audit Activities</w:t>
      </w:r>
    </w:p>
    <w:p w14:paraId="3F10D52C"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Nature of Work</w:t>
      </w:r>
    </w:p>
    <w:p w14:paraId="03CEBC93"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Assignment Planning</w:t>
      </w:r>
    </w:p>
    <w:p w14:paraId="2D2500BC"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Implementation of Assignments</w:t>
      </w:r>
    </w:p>
    <w:p w14:paraId="7F9A0203"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Communication of Assignment Results</w:t>
      </w:r>
    </w:p>
    <w:p w14:paraId="524C2580"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Progress Monitoring</w:t>
      </w:r>
    </w:p>
    <w:p w14:paraId="4E477571" w14:textId="77777777" w:rsidR="00630B20" w:rsidRPr="00311CEC" w:rsidRDefault="00630B20" w:rsidP="00311CEC">
      <w:pPr>
        <w:widowControl/>
        <w:numPr>
          <w:ilvl w:val="0"/>
          <w:numId w:val="3"/>
        </w:numPr>
        <w:jc w:val="both"/>
        <w:rPr>
          <w:rFonts w:ascii="Arial" w:hAnsi="Arial" w:cs="Arial"/>
        </w:rPr>
      </w:pPr>
      <w:r w:rsidRPr="00311CEC">
        <w:rPr>
          <w:rFonts w:ascii="Arial" w:hAnsi="Arial" w:cs="Arial"/>
        </w:rPr>
        <w:t>Risk Acceptance Communication</w:t>
      </w:r>
    </w:p>
    <w:p w14:paraId="26715701" w14:textId="77777777" w:rsidR="00630B20" w:rsidRPr="00311CEC" w:rsidRDefault="00630B20" w:rsidP="00311CEC">
      <w:pPr>
        <w:ind w:firstLine="720"/>
        <w:jc w:val="both"/>
        <w:rPr>
          <w:rFonts w:ascii="Arial" w:hAnsi="Arial" w:cs="Arial"/>
        </w:rPr>
      </w:pPr>
      <w:r w:rsidRPr="00311CEC">
        <w:rPr>
          <w:rFonts w:ascii="Arial" w:hAnsi="Arial" w:cs="Arial"/>
        </w:rPr>
        <w:t xml:space="preserve">Fraud prevention is eliminating opportunities or opportunities to commit fraud by building and implementing risk management (especially fraud risk management), internal control and honest corporate governance </w:t>
      </w:r>
      <w:r w:rsidRPr="00311CEC">
        <w:rPr>
          <w:rFonts w:ascii="Arial" w:hAnsi="Arial" w:cs="Arial"/>
        </w:rPr>
        <w:fldChar w:fldCharType="begin" w:fldLock="1"/>
      </w:r>
      <w:r w:rsidRPr="00311CEC">
        <w:rPr>
          <w:rFonts w:ascii="Arial" w:hAnsi="Arial" w:cs="Arial"/>
        </w:rPr>
        <w:instrText>ADDIN CSL_CITATION {"citationItems":[{"id":"ITEM-1","itemData":{"author":[{"dropping-particle":"","family":"Priantara","given":"Diaz","non-dropping-particle":"","parse-names":false,"suffix":""}],"id":"ITEM-1","issued":{"date-parts":[["2014"]]},"publisher":"Mitra Wancana Media","publisher-place":"Jakarta","title":"Fraud Auditing &amp; Investigation","type":"book"},"uris":["http://www.mendeley.com/documents/?uuid=77a77d91-8192-44b0-99b4-d5ea8270366e"]}],"mendeley":{"formattedCitation":"(Priantara, 2014)","manualFormatting":"(Priantara, 2014:184)","plainTextFormattedCitation":"(Priantara, 2014)","previouslyFormattedCitation":"(Priantara,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(Priantara, 2014:184)</w:t>
      </w:r>
      <w:r w:rsidRPr="00311CEC">
        <w:rPr>
          <w:rFonts w:ascii="Arial" w:hAnsi="Arial" w:cs="Arial"/>
        </w:rPr>
        <w:fldChar w:fldCharType="end"/>
      </w:r>
      <w:r w:rsidRPr="00311CEC">
        <w:rPr>
          <w:rFonts w:ascii="Arial" w:hAnsi="Arial" w:cs="Arial"/>
        </w:rPr>
        <w:t xml:space="preserve">. According to </w:t>
      </w:r>
      <w:r w:rsidRPr="00311CEC">
        <w:rPr>
          <w:rFonts w:ascii="Arial" w:hAnsi="Arial" w:cs="Arial"/>
        </w:rPr>
        <w:fldChar w:fldCharType="begin" w:fldLock="1"/>
      </w:r>
      <w:r w:rsidRPr="00311CEC">
        <w:rPr>
          <w:rFonts w:ascii="Arial" w:hAnsi="Arial" w:cs="Arial"/>
        </w:rPr>
        <w:instrText>ADDIN CSL_CITATION {"citationItems":[{"id":"ITEM-1","itemData":{"author":[{"dropping-particle":"","family":"Priantara","given":"Diaz","non-dropping-particle":"","parse-names":false,"suffix":""}],"id":"ITEM-1","issued":{"date-parts":[["2014"]]},"publisher":"Mitra Wancana Media","publisher-place":"Jakarta","title":"Fraud Auditing &amp; Investigation","type":"book"},"uris":["http://www.mendeley.com/documents/?uuid=77a77d91-8192-44b0-99b4-d5ea8270366e"]}],"mendeley":{"formattedCitation":"(Priantara, 2014)","manualFormatting":"Priantara (2014:196)","plainTextFormattedCitation":"(Priantara, 2014)","previouslyFormattedCitation":"(Priantara,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Priantara (2014:196)</w:t>
      </w:r>
      <w:r w:rsidRPr="00311CEC">
        <w:rPr>
          <w:rFonts w:ascii="Arial" w:hAnsi="Arial" w:cs="Arial"/>
        </w:rPr>
        <w:fldChar w:fldCharType="end"/>
      </w:r>
      <w:r w:rsidRPr="00311CEC">
        <w:rPr>
          <w:rFonts w:ascii="Arial" w:hAnsi="Arial" w:cs="Arial"/>
        </w:rPr>
        <w:t xml:space="preserve"> states that the indicators of fraud prevention are as follows:</w:t>
      </w:r>
    </w:p>
    <w:p w14:paraId="65238ADE" w14:textId="77777777" w:rsidR="00630B20" w:rsidRPr="00311CEC" w:rsidRDefault="00630B20" w:rsidP="00311CEC">
      <w:pPr>
        <w:widowControl/>
        <w:numPr>
          <w:ilvl w:val="0"/>
          <w:numId w:val="2"/>
        </w:numPr>
        <w:jc w:val="both"/>
        <w:rPr>
          <w:rFonts w:ascii="Arial" w:hAnsi="Arial" w:cs="Arial"/>
        </w:rPr>
      </w:pPr>
      <w:r w:rsidRPr="00311CEC">
        <w:rPr>
          <w:rFonts w:ascii="Arial" w:hAnsi="Arial" w:cs="Arial"/>
        </w:rPr>
        <w:t>Build a good internal control structure</w:t>
      </w:r>
    </w:p>
    <w:p w14:paraId="1F9347C2" w14:textId="77777777" w:rsidR="00630B20" w:rsidRPr="00311CEC" w:rsidRDefault="00630B20" w:rsidP="00311CEC">
      <w:pPr>
        <w:widowControl/>
        <w:numPr>
          <w:ilvl w:val="0"/>
          <w:numId w:val="2"/>
        </w:numPr>
        <w:jc w:val="both"/>
        <w:rPr>
          <w:rFonts w:ascii="Arial" w:hAnsi="Arial" w:cs="Arial"/>
        </w:rPr>
      </w:pPr>
      <w:r w:rsidRPr="00311CEC">
        <w:rPr>
          <w:rFonts w:ascii="Arial" w:hAnsi="Arial" w:cs="Arial"/>
        </w:rPr>
        <w:t>Streamline control activities</w:t>
      </w:r>
    </w:p>
    <w:p w14:paraId="7034A089" w14:textId="77777777" w:rsidR="00630B20" w:rsidRPr="00311CEC" w:rsidRDefault="00630B20" w:rsidP="00311CEC">
      <w:pPr>
        <w:widowControl/>
        <w:numPr>
          <w:ilvl w:val="0"/>
          <w:numId w:val="2"/>
        </w:numPr>
        <w:jc w:val="both"/>
        <w:rPr>
          <w:rFonts w:ascii="Arial" w:hAnsi="Arial" w:cs="Arial"/>
        </w:rPr>
      </w:pPr>
      <w:r w:rsidRPr="00311CEC">
        <w:rPr>
          <w:rFonts w:ascii="Arial" w:hAnsi="Arial" w:cs="Arial"/>
        </w:rPr>
        <w:t>Improve organizational culture</w:t>
      </w:r>
    </w:p>
    <w:p w14:paraId="2DFF976A" w14:textId="77777777" w:rsidR="00630B20" w:rsidRPr="00311CEC" w:rsidRDefault="00630B20" w:rsidP="00311CEC">
      <w:pPr>
        <w:widowControl/>
        <w:numPr>
          <w:ilvl w:val="0"/>
          <w:numId w:val="2"/>
        </w:numPr>
        <w:jc w:val="both"/>
        <w:rPr>
          <w:rFonts w:ascii="Arial" w:hAnsi="Arial" w:cs="Arial"/>
        </w:rPr>
      </w:pPr>
      <w:r w:rsidRPr="00311CEC">
        <w:rPr>
          <w:rFonts w:ascii="Arial" w:hAnsi="Arial" w:cs="Arial"/>
        </w:rPr>
        <w:t>Streamline the internal audit function</w:t>
      </w:r>
    </w:p>
    <w:p w14:paraId="416089DC" w14:textId="77777777" w:rsidR="00630B20" w:rsidRPr="00311CEC" w:rsidRDefault="00630B20" w:rsidP="00311CEC">
      <w:pPr>
        <w:ind w:firstLine="720"/>
        <w:jc w:val="both"/>
        <w:rPr>
          <w:rFonts w:ascii="Arial" w:hAnsi="Arial" w:cs="Arial"/>
        </w:rPr>
      </w:pPr>
      <w:r w:rsidRPr="00311CEC">
        <w:rPr>
          <w:rFonts w:ascii="Arial" w:hAnsi="Arial" w:cs="Arial"/>
        </w:rPr>
        <w:t xml:space="preserve">One way to prevent and minimize fraud is to improve the implementation of internal audits. Internal audit aims to help organizations implement effective controls by evaluating effectiveness and efficiency and encouraging continuous improvement </w:t>
      </w:r>
      <w:r w:rsidRPr="00311CEC">
        <w:rPr>
          <w:rFonts w:ascii="Arial" w:hAnsi="Arial" w:cs="Arial"/>
        </w:rPr>
        <w:fldChar w:fldCharType="begin" w:fldLock="1"/>
      </w:r>
      <w:r w:rsidRPr="00311CEC">
        <w:rPr>
          <w:rFonts w:ascii="Arial" w:hAnsi="Arial" w:cs="Arial"/>
        </w:rPr>
        <w:instrText>ADDIN CSL_CITATION {"citationItems":[{"id":"ITEM-1","itemData":{"author":[{"dropping-particle":"","family":"Sawyer","given":"Lawrence B","non-dropping-particle":"","parse-names":false,"suffix":""},{"dropping-particle":"","family":"A","given":"Dittenhofer Mortimer","non-dropping-particle":"","parse-names":false,"suffix":""},{"dropping-particle":"","family":"Scheiner James H","given":"","non-dropping-particle":"","parse-names":false,"suffix":""}],"edition":"Jilid 1, E","id":"ITEM-1","issued":{"date-parts":[["2012"]]},"publisher":"Salemba Empat","publisher-place":"Jakarta","title":"Internal Auditing","type":"book"},"uris":["http://www.mendeley.com/documents/?uuid=7940d1be-f400-49fe-b4e4-a20cb23eba0f"]}],"mendeley":{"formattedCitation":"(Sawyer et al., 2012)","manualFormatting":"(Sawyer et al., 2012:55)","plainTextFormattedCitation":"(Sawyer et al., 2012)","previouslyFormattedCitation":"(Sawyer et al., 2012)"},"properties":{"noteIndex":0},"schema":"https://github.com/citation-style-language/schema/raw/master/csl-citation.json"}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(Sawyer et al., 2012:55)</w:t>
      </w:r>
      <w:r w:rsidRPr="00311CEC">
        <w:rPr>
          <w:rFonts w:ascii="Arial" w:hAnsi="Arial" w:cs="Arial"/>
        </w:rPr>
        <w:fldChar w:fldCharType="end"/>
      </w:r>
      <w:r w:rsidRPr="00311CEC">
        <w:rPr>
          <w:rFonts w:ascii="Arial" w:hAnsi="Arial" w:cs="Arial"/>
        </w:rPr>
        <w:t xml:space="preserve">. Internal audit helps organizations achieve their goals by taking a systematic and disciplined approach to evaluate and improve the effectiveness of risk management, control, and governance processes. Internal audit helps organizations achieve their goals by taking a systematic and disciplined approach to evaluate and improve the effectiveness of risk management, control, and governance processes </w:t>
      </w:r>
      <w:r w:rsidRPr="00311CEC">
        <w:rPr>
          <w:rFonts w:ascii="Arial" w:hAnsi="Arial" w:cs="Arial"/>
        </w:rPr>
        <w:fldChar w:fldCharType="begin" w:fldLock="1"/>
      </w:r>
      <w:r w:rsidRPr="00311CEC">
        <w:rPr>
          <w:rFonts w:ascii="Arial" w:hAnsi="Arial" w:cs="Arial"/>
        </w:rPr>
        <w:instrText>ADDIN CSL_CITATION {"citationItems":[{"id":"ITEM-1","itemData":{"author":[{"dropping-particle":"","family":"Reding","given":"K R","non-dropping-particle":"","parse-names":false,"suffix":""},{"dropping-particle":"","family":"Sobel","given":"Paul J","non-dropping-particle":"","parse-names":false,"suffix":""},{"dropping-particle":"","family":"Anderson","given":"Urton L","non-dropping-particle":"","parse-names":false,"suffix":""}],"edition":"Third Edit","id":"ITEM-1","issued":{"date-parts":[["2013"]]},"publisher":"The Institute of Internal Auditors ResearchFoundation (IIARF)","publisher-place":"Unites Stated Of America","title":"Internal Auditing: Assurance &amp; Advisory Services.","type":"book"},"uris":["http://www.mendeley.com/documents/?uuid=2bf47a1f-8d81-459f-8e09-e9aed573e6c5"]}],"mendeley":{"formattedCitation":"(Reding et al., 2013)","manualFormatting":"(Reding et al., 2013:2)","plainTextFormattedCitation":"(Reding et al., 2013)","previouslyFormattedCitation":"(Reding et al., 2013)"},"properties":{"noteIndex":0},"schema":"https://github.com/citation-style-language/schema/raw/master/csl-citation.json"}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(Reding et al., 2013:2)</w:t>
      </w:r>
      <w:r w:rsidRPr="00311CEC">
        <w:rPr>
          <w:rFonts w:ascii="Arial" w:hAnsi="Arial" w:cs="Arial"/>
        </w:rPr>
        <w:fldChar w:fldCharType="end"/>
      </w:r>
      <w:r w:rsidRPr="00311CEC">
        <w:rPr>
          <w:rFonts w:ascii="Arial" w:hAnsi="Arial" w:cs="Arial"/>
        </w:rPr>
        <w:t xml:space="preserve">. The risks faced by the company include integrity risk, namely the risk of fraud by management or company employees, illegal actions, or other irregularities that can reduce the company's good name/reputation in the business world, </w:t>
      </w:r>
      <w:r w:rsidRPr="00311CEC">
        <w:rPr>
          <w:rFonts w:ascii="Arial" w:hAnsi="Arial" w:cs="Arial"/>
        </w:rPr>
        <w:lastRenderedPageBreak/>
        <w:t xml:space="preserve">or can reduce the company's ability to maintain internal audit is an independent activity. , objective assurance, and consulting designed to add value and improve the organization's operations. This internal audit helps organizations achieve their goals by taking a systematic and disciplined approach to evaluate and improve the effectiveness of risk management, control, and governance processes </w:t>
      </w:r>
      <w:r w:rsidRPr="00311CEC">
        <w:rPr>
          <w:rFonts w:ascii="Arial" w:hAnsi="Arial" w:cs="Arial"/>
        </w:rPr>
        <w:fldChar w:fldCharType="begin" w:fldLock="1"/>
      </w:r>
      <w:r w:rsidRPr="00311CEC">
        <w:rPr>
          <w:rFonts w:ascii="Arial" w:hAnsi="Arial" w:cs="Arial"/>
        </w:rPr>
        <w:instrText>ADDIN CSL_CITATION {"citationItems":[{"id":"ITEM-1","itemData":{"author":[{"dropping-particle":"","family":"Reding","given":"K R","non-dropping-particle":"","parse-names":false,"suffix":""},{"dropping-particle":"","family":"Sobel","given":"Paul J","non-dropping-particle":"","parse-names":false,"suffix":""},{"dropping-particle":"","family":"Anderson","given":"Urton L","non-dropping-particle":"","parse-names":false,"suffix":""}],"edition":"Third Edit","id":"ITEM-1","issued":{"date-parts":[["2013"]]},"publisher":"The Institute of Internal Auditors ResearchFoundation (IIARF)","publisher-place":"Unites Stated Of America","title":"Internal Auditing: Assurance &amp; Advisory Services.","type":"book"},"uris":["http://www.mendeley.com/documents/?uuid=2bf47a1f-8d81-459f-8e09-e9aed573e6c5"]}],"mendeley":{"formattedCitation":"(Reding et al., 2013)","manualFormatting":"(Reding et al., 2013:2)","plainTextFormattedCitation":"(Reding et al., 2013)","previouslyFormattedCitation":"(Reding et al., 2013)"},"properties":{"noteIndex":0},"schema":"https://github.com/citation-style-language/schema/raw/master/csl-citation.json"}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(Reding et al., 2013:2)</w:t>
      </w:r>
      <w:r w:rsidRPr="00311CEC">
        <w:rPr>
          <w:rFonts w:ascii="Arial" w:hAnsi="Arial" w:cs="Arial"/>
        </w:rPr>
        <w:fldChar w:fldCharType="end"/>
      </w:r>
      <w:r w:rsidRPr="00311CEC">
        <w:rPr>
          <w:rFonts w:ascii="Arial" w:hAnsi="Arial" w:cs="Arial"/>
        </w:rPr>
        <w:t>.</w:t>
      </w:r>
    </w:p>
    <w:p w14:paraId="2F959A49" w14:textId="77777777" w:rsidR="00630B20" w:rsidRPr="00311CEC" w:rsidRDefault="00630B20" w:rsidP="00311CEC">
      <w:pPr>
        <w:ind w:firstLine="720"/>
        <w:jc w:val="both"/>
        <w:rPr>
          <w:rFonts w:ascii="Arial" w:hAnsi="Arial" w:cs="Arial"/>
        </w:rPr>
      </w:pPr>
      <w:r w:rsidRPr="00311CEC">
        <w:rPr>
          <w:rFonts w:ascii="Arial" w:hAnsi="Arial" w:cs="Arial"/>
        </w:rPr>
        <w:t xml:space="preserve">The purpose of conducting an internal audit is to assist members of the organization so that they can carry out their responsibilities effectively. The objectives of internal auditing also include developing effective controls at a reasonable cost. The internal audit function is an independent assessment function within an organization to examine or study and assess company activities to provide suggestions to management so that their responsibilities can be carried out effectively </w:t>
      </w:r>
      <w:r w:rsidRPr="00311CEC">
        <w:rPr>
          <w:rFonts w:ascii="Arial" w:hAnsi="Arial" w:cs="Arial"/>
        </w:rPr>
        <w:fldChar w:fldCharType="begin" w:fldLock="1"/>
      </w:r>
      <w:r w:rsidRPr="00311CEC">
        <w:rPr>
          <w:rFonts w:ascii="Arial" w:hAnsi="Arial" w:cs="Arial"/>
        </w:rPr>
        <w:instrText>ADDIN CSL_CITATION {"citationItems":[{"id":"ITEM-1","itemData":{"author":[{"dropping-particle":"","family":"Tugiman","given":"Hiro","non-dropping-particle":"","parse-names":false,"suffix":""}],"id":"ITEM-1","issued":{"date-parts":[["2014"]]},"publisher":"Kanisius","publisher-place":"Yogyakarta","title":"Standar Profesional Audit Internal","type":"book"},"uris":["http://www.mendeley.com/documents/?uuid=f38bff60-cf87-4da0-969b-46b4eb6de0a4"]}],"mendeley":{"formattedCitation":"(Tugiman, 2014)","manualFormatting":"(Tugiman, 2014:11)","plainTextFormattedCitation":"(Tugiman, 2014)","previouslyFormattedCitation":"(Tugiman,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(Tugiman, 2014:11)</w:t>
      </w:r>
      <w:r w:rsidRPr="00311CEC">
        <w:rPr>
          <w:rFonts w:ascii="Arial" w:hAnsi="Arial" w:cs="Arial"/>
        </w:rPr>
        <w:fldChar w:fldCharType="end"/>
      </w:r>
      <w:r w:rsidRPr="00311CEC">
        <w:rPr>
          <w:rFonts w:ascii="Arial" w:hAnsi="Arial" w:cs="Arial"/>
        </w:rPr>
        <w:t xml:space="preserve">. Internal auditors are the most appropriate agents to realize internal control, risk management and good corporate governance which will certainly add value to resources and the company </w:t>
      </w:r>
      <w:r w:rsidRPr="00311CEC">
        <w:rPr>
          <w:rFonts w:ascii="Arial" w:hAnsi="Arial" w:cs="Arial"/>
        </w:rPr>
        <w:fldChar w:fldCharType="begin" w:fldLock="1"/>
      </w:r>
      <w:r w:rsidRPr="00311CEC">
        <w:rPr>
          <w:rFonts w:ascii="Arial" w:hAnsi="Arial" w:cs="Arial"/>
        </w:rPr>
        <w:instrText>ADDIN CSL_CITATION {"citationItems":[{"id":"ITEM-1","itemData":{"author":[{"dropping-particle":"","family":"Kumaat","given":"Valery G","non-dropping-particle":"","parse-names":false,"suffix":""}],"id":"ITEM-1","issued":{"date-parts":[["2014"]]},"publisher":"Erlangga","publisher-place":"Jakarta","title":"Internal Audit","type":"book"},"uris":["http://www.mendeley.com/documents/?uuid=6c418db5-ade4-4926-a894-33817c99ac8e"]}],"mendeley":{"formattedCitation":"(Kumaat, 2014)","manualFormatting":"(Kumaat, 2014:34)","plainTextFormattedCitation":"(Kumaat, 2014)","previouslyFormattedCitation":"(Kumaat,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(Kumaat, 2014:34)</w:t>
      </w:r>
      <w:r w:rsidRPr="00311CEC">
        <w:rPr>
          <w:rFonts w:ascii="Arial" w:hAnsi="Arial" w:cs="Arial"/>
        </w:rPr>
        <w:fldChar w:fldCharType="end"/>
      </w:r>
      <w:r w:rsidRPr="00311CEC">
        <w:rPr>
          <w:rFonts w:ascii="Arial" w:hAnsi="Arial" w:cs="Arial"/>
        </w:rPr>
        <w:t xml:space="preserve">. Internal auditors are responsible for helping prevent and minimizing fraud by testing the adequacy and effectiveness of the internal control system, by evaluating the extent to which potential risks are identified. The existence of these risks requires internal auditors to develop preventive actions that can minimize the occurrence of fraud </w:t>
      </w:r>
      <w:r w:rsidRPr="00311CEC">
        <w:rPr>
          <w:rFonts w:ascii="Arial" w:hAnsi="Arial" w:cs="Arial"/>
        </w:rPr>
        <w:fldChar w:fldCharType="begin" w:fldLock="1"/>
      </w:r>
      <w:r w:rsidRPr="00311CEC">
        <w:rPr>
          <w:rFonts w:ascii="Arial" w:hAnsi="Arial" w:cs="Arial"/>
        </w:rPr>
        <w:instrText>ADDIN CSL_CITATION {"citationItems":[{"id":"ITEM-1","itemData":{"author":[{"dropping-particle":"","family":"Amrizal","given":"","non-dropping-particle":"","parse-names":false,"suffix":""}],"id":"ITEM-1","issued":{"date-parts":[["2014"]]},"publisher":"BPK","publisher-place":"Jakarta","title":"Pencegahan Dan Pendeteksian Kecurangan Oleh Internal Auditor","type":"book"},"uris":["http://www.mendeley.com/documents/?uuid=275852e4-0f52-46d0-a7ff-a18c564ca56a"]}],"mendeley":{"formattedCitation":"(Amrizal, 2014)","manualFormatting":"(Amrizal, 2014:11)","plainTextFormattedCitation":"(Amrizal, 2014)","previouslyFormattedCitation":"(Amrizal, 2014)"},"properties":{"noteIndex":0},"schema":"https://github.com/citation-style-language/schema/raw/master/csl-citation.json"}</w:instrText>
      </w:r>
      <w:r w:rsidRPr="00311CEC">
        <w:rPr>
          <w:rFonts w:ascii="Arial" w:hAnsi="Arial" w:cs="Arial"/>
        </w:rPr>
        <w:fldChar w:fldCharType="separate"/>
      </w:r>
      <w:r w:rsidRPr="00311CEC">
        <w:rPr>
          <w:rFonts w:ascii="Arial" w:hAnsi="Arial" w:cs="Arial"/>
          <w:noProof/>
        </w:rPr>
        <w:t>(Amrizal, 2014:11)</w:t>
      </w:r>
      <w:r w:rsidRPr="00311CEC">
        <w:rPr>
          <w:rFonts w:ascii="Arial" w:hAnsi="Arial" w:cs="Arial"/>
        </w:rPr>
        <w:fldChar w:fldCharType="end"/>
      </w:r>
      <w:r w:rsidRPr="00311CEC">
        <w:rPr>
          <w:rFonts w:ascii="Arial" w:hAnsi="Arial" w:cs="Arial"/>
        </w:rPr>
        <w:t>.</w:t>
      </w:r>
    </w:p>
    <w:p w14:paraId="194CA270" w14:textId="77777777" w:rsidR="00630B20" w:rsidRPr="00311CEC" w:rsidRDefault="00630B20" w:rsidP="00311CEC">
      <w:pPr>
        <w:jc w:val="both"/>
        <w:rPr>
          <w:rFonts w:ascii="Arial" w:hAnsi="Arial" w:cs="Arial"/>
        </w:rPr>
      </w:pPr>
      <w:r w:rsidRPr="00311CEC">
        <w:rPr>
          <w:rFonts w:ascii="Arial" w:hAnsi="Arial" w:cs="Arial"/>
        </w:rPr>
        <w:t>Ho: Internal audit has no effect on fraud prevention.</w:t>
      </w:r>
    </w:p>
    <w:p w14:paraId="2C0053D8" w14:textId="77777777" w:rsidR="00630B20" w:rsidRPr="00311CEC" w:rsidRDefault="00630B20" w:rsidP="00311CEC">
      <w:pPr>
        <w:jc w:val="both"/>
        <w:rPr>
          <w:rFonts w:ascii="Arial" w:hAnsi="Arial" w:cs="Arial"/>
        </w:rPr>
      </w:pPr>
      <w:r w:rsidRPr="00311CEC">
        <w:rPr>
          <w:rFonts w:ascii="Arial" w:hAnsi="Arial" w:cs="Arial"/>
        </w:rPr>
        <w:t>Ha: Internal audit has an effect on fraud prevention.</w:t>
      </w:r>
    </w:p>
    <w:p w14:paraId="239D3EF1" w14:textId="77777777" w:rsidR="00630B20" w:rsidRPr="00311CEC" w:rsidRDefault="00630B20" w:rsidP="00311CEC">
      <w:pPr>
        <w:ind w:firstLine="720"/>
        <w:jc w:val="both"/>
        <w:rPr>
          <w:rFonts w:ascii="Arial" w:hAnsi="Arial" w:cs="Arial"/>
        </w:rPr>
      </w:pPr>
    </w:p>
    <w:p w14:paraId="6284633D" w14:textId="77777777" w:rsidR="00630B20" w:rsidRPr="00311CEC" w:rsidRDefault="00630B20" w:rsidP="00311CEC">
      <w:pPr>
        <w:jc w:val="center"/>
        <w:rPr>
          <w:rFonts w:ascii="Arial" w:hAnsi="Arial" w:cs="Arial"/>
          <w:b/>
          <w:bCs/>
        </w:rPr>
      </w:pPr>
      <w:r w:rsidRPr="00311CEC">
        <w:rPr>
          <w:rFonts w:ascii="Arial" w:hAnsi="Arial" w:cs="Arial"/>
          <w:b/>
          <w:bCs/>
        </w:rPr>
        <w:t>METHODS</w:t>
      </w:r>
    </w:p>
    <w:p w14:paraId="0BE00423" w14:textId="77777777" w:rsidR="00630B20" w:rsidRPr="00311CEC" w:rsidRDefault="00630B20" w:rsidP="00311CEC">
      <w:pPr>
        <w:ind w:firstLine="720"/>
        <w:jc w:val="both"/>
        <w:rPr>
          <w:rFonts w:ascii="Arial" w:hAnsi="Arial" w:cs="Arial"/>
          <w:bCs/>
        </w:rPr>
      </w:pPr>
      <w:r w:rsidRPr="00311CEC">
        <w:rPr>
          <w:rFonts w:ascii="Arial" w:hAnsi="Arial" w:cs="Arial"/>
          <w:bCs/>
        </w:rPr>
        <w:t>The research methodology used in this research is verification. The population in this study were employees of the Internal Control Unit (SPI) at Perum Bulog, Bandung City. The sampling technique used is a non-probability sampling technique with a total sampling technique so that the number of samples is 34 employees. The types and sources of data used were primary data, while the data collection technique used a questionnaire. The independent variable is internal audit, while the dependent variable is fraud prevention. Analysis of the data used is simple linear regression analysis using SPSS Version 25.00 program.</w:t>
      </w:r>
    </w:p>
    <w:p w14:paraId="48A8443C" w14:textId="77777777" w:rsidR="00630B20" w:rsidRPr="00311CEC" w:rsidRDefault="00630B20" w:rsidP="00311CEC">
      <w:pPr>
        <w:jc w:val="both"/>
        <w:rPr>
          <w:rFonts w:ascii="Arial" w:hAnsi="Arial" w:cs="Arial"/>
        </w:rPr>
      </w:pPr>
    </w:p>
    <w:p w14:paraId="7A4E911A" w14:textId="77777777" w:rsidR="00630B20" w:rsidRPr="00311CEC" w:rsidRDefault="00630B20" w:rsidP="00311CEC">
      <w:pPr>
        <w:jc w:val="center"/>
        <w:rPr>
          <w:rFonts w:ascii="Arial" w:hAnsi="Arial" w:cs="Arial"/>
          <w:b/>
        </w:rPr>
      </w:pPr>
      <w:r w:rsidRPr="00311CEC">
        <w:rPr>
          <w:rFonts w:ascii="Arial" w:hAnsi="Arial" w:cs="Arial"/>
          <w:b/>
        </w:rPr>
        <w:t>RESULTS AND DISCUSSION</w:t>
      </w:r>
    </w:p>
    <w:p w14:paraId="33219472" w14:textId="77777777" w:rsidR="00630B20" w:rsidRPr="00311CEC" w:rsidRDefault="00630B20" w:rsidP="00311CEC">
      <w:pPr>
        <w:jc w:val="center"/>
        <w:rPr>
          <w:rFonts w:ascii="Arial" w:hAnsi="Arial" w:cs="Arial"/>
          <w:b/>
        </w:rPr>
      </w:pPr>
      <w:r w:rsidRPr="00311CEC">
        <w:rPr>
          <w:rFonts w:ascii="Arial" w:hAnsi="Arial" w:cs="Arial"/>
          <w:b/>
        </w:rPr>
        <w:t>Table 1. Recapitulation of Respondents' Responses Regarding Internal Audit Variables</w:t>
      </w:r>
    </w:p>
    <w:tbl>
      <w:tblPr>
        <w:tblW w:w="8290" w:type="dxa"/>
        <w:jc w:val="center"/>
        <w:tblLook w:val="04A0" w:firstRow="1" w:lastRow="0" w:firstColumn="1" w:lastColumn="0" w:noHBand="0" w:noVBand="1"/>
      </w:tblPr>
      <w:tblGrid>
        <w:gridCol w:w="935"/>
        <w:gridCol w:w="3083"/>
        <w:gridCol w:w="797"/>
        <w:gridCol w:w="744"/>
        <w:gridCol w:w="692"/>
        <w:gridCol w:w="744"/>
        <w:gridCol w:w="1513"/>
      </w:tblGrid>
      <w:tr w:rsidR="00630B20" w:rsidRPr="00311CEC" w14:paraId="136506A3" w14:textId="77777777" w:rsidTr="00630B20">
        <w:trPr>
          <w:trHeight w:val="77"/>
          <w:jc w:val="center"/>
        </w:trPr>
        <w:tc>
          <w:tcPr>
            <w:tcW w:w="483" w:type="dxa"/>
            <w:tcBorders>
              <w:top w:val="single" w:sz="4" w:space="0" w:color="auto"/>
              <w:bottom w:val="single" w:sz="4" w:space="0" w:color="auto"/>
            </w:tcBorders>
            <w:noWrap/>
            <w:vAlign w:val="center"/>
            <w:hideMark/>
          </w:tcPr>
          <w:p w14:paraId="2A48B8F3"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Number</w:t>
            </w:r>
          </w:p>
        </w:tc>
        <w:tc>
          <w:tcPr>
            <w:tcW w:w="3235" w:type="dxa"/>
            <w:tcBorders>
              <w:top w:val="single" w:sz="4" w:space="0" w:color="auto"/>
              <w:bottom w:val="single" w:sz="4" w:space="0" w:color="auto"/>
            </w:tcBorders>
            <w:noWrap/>
            <w:vAlign w:val="center"/>
            <w:hideMark/>
          </w:tcPr>
          <w:p w14:paraId="42EC0C75"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Indicator</w:t>
            </w:r>
          </w:p>
        </w:tc>
        <w:tc>
          <w:tcPr>
            <w:tcW w:w="828" w:type="dxa"/>
            <w:tcBorders>
              <w:top w:val="single" w:sz="4" w:space="0" w:color="auto"/>
              <w:bottom w:val="single" w:sz="4" w:space="0" w:color="auto"/>
            </w:tcBorders>
            <w:vAlign w:val="center"/>
            <w:hideMark/>
          </w:tcPr>
          <w:p w14:paraId="74A6B799"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Actual Score</w:t>
            </w:r>
          </w:p>
        </w:tc>
        <w:tc>
          <w:tcPr>
            <w:tcW w:w="717" w:type="dxa"/>
            <w:tcBorders>
              <w:top w:val="single" w:sz="4" w:space="0" w:color="auto"/>
              <w:left w:val="nil"/>
              <w:bottom w:val="single" w:sz="4" w:space="0" w:color="auto"/>
            </w:tcBorders>
            <w:vAlign w:val="center"/>
            <w:hideMark/>
          </w:tcPr>
          <w:p w14:paraId="3ADE5348"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Ideal Score</w:t>
            </w:r>
          </w:p>
        </w:tc>
        <w:tc>
          <w:tcPr>
            <w:tcW w:w="717" w:type="dxa"/>
            <w:tcBorders>
              <w:top w:val="single" w:sz="4" w:space="0" w:color="auto"/>
              <w:bottom w:val="single" w:sz="4" w:space="0" w:color="auto"/>
            </w:tcBorders>
            <w:noWrap/>
            <w:vAlign w:val="center"/>
            <w:hideMark/>
          </w:tcPr>
          <w:p w14:paraId="7E2DBDCE"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w:t>
            </w:r>
          </w:p>
        </w:tc>
        <w:tc>
          <w:tcPr>
            <w:tcW w:w="728" w:type="dxa"/>
            <w:tcBorders>
              <w:top w:val="single" w:sz="4" w:space="0" w:color="auto"/>
              <w:bottom w:val="single" w:sz="4" w:space="0" w:color="auto"/>
            </w:tcBorders>
            <w:hideMark/>
          </w:tcPr>
          <w:p w14:paraId="3BD78112"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Mean Score</w:t>
            </w:r>
          </w:p>
        </w:tc>
        <w:tc>
          <w:tcPr>
            <w:tcW w:w="1582" w:type="dxa"/>
            <w:tcBorders>
              <w:top w:val="single" w:sz="4" w:space="0" w:color="auto"/>
              <w:bottom w:val="single" w:sz="4" w:space="0" w:color="auto"/>
            </w:tcBorders>
            <w:noWrap/>
            <w:vAlign w:val="center"/>
            <w:hideMark/>
          </w:tcPr>
          <w:p w14:paraId="557F657B"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Category</w:t>
            </w:r>
          </w:p>
        </w:tc>
      </w:tr>
      <w:tr w:rsidR="00630B20" w:rsidRPr="00311CEC" w14:paraId="742BD851" w14:textId="77777777" w:rsidTr="00630B20">
        <w:trPr>
          <w:trHeight w:val="223"/>
          <w:jc w:val="center"/>
        </w:trPr>
        <w:tc>
          <w:tcPr>
            <w:tcW w:w="483" w:type="dxa"/>
            <w:tcBorders>
              <w:top w:val="single" w:sz="4" w:space="0" w:color="auto"/>
            </w:tcBorders>
            <w:noWrap/>
            <w:vAlign w:val="center"/>
            <w:hideMark/>
          </w:tcPr>
          <w:p w14:paraId="25BC64B9"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1</w:t>
            </w:r>
          </w:p>
        </w:tc>
        <w:tc>
          <w:tcPr>
            <w:tcW w:w="3235" w:type="dxa"/>
            <w:tcBorders>
              <w:top w:val="single" w:sz="4" w:space="0" w:color="auto"/>
            </w:tcBorders>
            <w:noWrap/>
            <w:hideMark/>
          </w:tcPr>
          <w:p w14:paraId="4770C7F3" w14:textId="77777777" w:rsidR="00630B20" w:rsidRPr="00311CEC" w:rsidRDefault="00630B20" w:rsidP="00311CEC">
            <w:pPr>
              <w:rPr>
                <w:rFonts w:ascii="Arial" w:hAnsi="Arial" w:cs="Arial"/>
                <w:sz w:val="20"/>
                <w:szCs w:val="20"/>
              </w:rPr>
            </w:pPr>
            <w:r w:rsidRPr="00311CEC">
              <w:rPr>
                <w:rFonts w:ascii="Arial" w:hAnsi="Arial" w:cs="Arial"/>
                <w:sz w:val="20"/>
                <w:szCs w:val="20"/>
              </w:rPr>
              <w:t>Managing Internal Audit Activities</w:t>
            </w:r>
          </w:p>
        </w:tc>
        <w:tc>
          <w:tcPr>
            <w:tcW w:w="828" w:type="dxa"/>
            <w:tcBorders>
              <w:top w:val="single" w:sz="4" w:space="0" w:color="auto"/>
            </w:tcBorders>
            <w:noWrap/>
            <w:vAlign w:val="center"/>
            <w:hideMark/>
          </w:tcPr>
          <w:p w14:paraId="4CB39EB3"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815</w:t>
            </w:r>
          </w:p>
        </w:tc>
        <w:tc>
          <w:tcPr>
            <w:tcW w:w="717" w:type="dxa"/>
            <w:tcBorders>
              <w:top w:val="single" w:sz="4" w:space="0" w:color="auto"/>
              <w:left w:val="nil"/>
            </w:tcBorders>
            <w:noWrap/>
            <w:vAlign w:val="center"/>
            <w:hideMark/>
          </w:tcPr>
          <w:p w14:paraId="21DC28AC"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1190</w:t>
            </w:r>
          </w:p>
        </w:tc>
        <w:tc>
          <w:tcPr>
            <w:tcW w:w="717" w:type="dxa"/>
            <w:tcBorders>
              <w:top w:val="single" w:sz="4" w:space="0" w:color="auto"/>
            </w:tcBorders>
            <w:noWrap/>
            <w:vAlign w:val="center"/>
            <w:hideMark/>
          </w:tcPr>
          <w:p w14:paraId="16111AB0"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68,49</w:t>
            </w:r>
          </w:p>
        </w:tc>
        <w:tc>
          <w:tcPr>
            <w:tcW w:w="728" w:type="dxa"/>
            <w:tcBorders>
              <w:top w:val="single" w:sz="4" w:space="0" w:color="auto"/>
            </w:tcBorders>
            <w:vAlign w:val="center"/>
            <w:hideMark/>
          </w:tcPr>
          <w:p w14:paraId="2939A15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3,42</w:t>
            </w:r>
          </w:p>
        </w:tc>
        <w:tc>
          <w:tcPr>
            <w:tcW w:w="1582" w:type="dxa"/>
            <w:tcBorders>
              <w:top w:val="single" w:sz="4" w:space="0" w:color="auto"/>
            </w:tcBorders>
            <w:noWrap/>
            <w:vAlign w:val="center"/>
            <w:hideMark/>
          </w:tcPr>
          <w:p w14:paraId="22F034F1"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Good</w:t>
            </w:r>
          </w:p>
        </w:tc>
      </w:tr>
      <w:tr w:rsidR="00630B20" w:rsidRPr="00311CEC" w14:paraId="5140E48A" w14:textId="77777777" w:rsidTr="00630B20">
        <w:trPr>
          <w:trHeight w:val="205"/>
          <w:jc w:val="center"/>
        </w:trPr>
        <w:tc>
          <w:tcPr>
            <w:tcW w:w="483" w:type="dxa"/>
            <w:noWrap/>
            <w:vAlign w:val="center"/>
            <w:hideMark/>
          </w:tcPr>
          <w:p w14:paraId="5116824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w:t>
            </w:r>
          </w:p>
        </w:tc>
        <w:tc>
          <w:tcPr>
            <w:tcW w:w="3235" w:type="dxa"/>
            <w:noWrap/>
            <w:hideMark/>
          </w:tcPr>
          <w:p w14:paraId="6791ACF2" w14:textId="77777777" w:rsidR="00630B20" w:rsidRPr="00311CEC" w:rsidRDefault="00630B20" w:rsidP="00311CEC">
            <w:pPr>
              <w:rPr>
                <w:rFonts w:ascii="Arial" w:hAnsi="Arial" w:cs="Arial"/>
                <w:sz w:val="20"/>
                <w:szCs w:val="20"/>
              </w:rPr>
            </w:pPr>
            <w:r w:rsidRPr="00311CEC">
              <w:rPr>
                <w:rFonts w:ascii="Arial" w:hAnsi="Arial" w:cs="Arial"/>
                <w:sz w:val="20"/>
                <w:szCs w:val="20"/>
              </w:rPr>
              <w:t>Nature of Work</w:t>
            </w:r>
          </w:p>
        </w:tc>
        <w:tc>
          <w:tcPr>
            <w:tcW w:w="828" w:type="dxa"/>
            <w:noWrap/>
            <w:vAlign w:val="center"/>
            <w:hideMark/>
          </w:tcPr>
          <w:p w14:paraId="5AA4AC1C"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287</w:t>
            </w:r>
          </w:p>
        </w:tc>
        <w:tc>
          <w:tcPr>
            <w:tcW w:w="717" w:type="dxa"/>
            <w:tcBorders>
              <w:left w:val="nil"/>
            </w:tcBorders>
            <w:noWrap/>
            <w:hideMark/>
          </w:tcPr>
          <w:p w14:paraId="7A6B9319"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510</w:t>
            </w:r>
          </w:p>
        </w:tc>
        <w:tc>
          <w:tcPr>
            <w:tcW w:w="717" w:type="dxa"/>
            <w:noWrap/>
            <w:vAlign w:val="center"/>
            <w:hideMark/>
          </w:tcPr>
          <w:p w14:paraId="0BF719A0"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56,27</w:t>
            </w:r>
          </w:p>
        </w:tc>
        <w:tc>
          <w:tcPr>
            <w:tcW w:w="728" w:type="dxa"/>
            <w:vAlign w:val="center"/>
            <w:hideMark/>
          </w:tcPr>
          <w:p w14:paraId="219EC633"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2,81</w:t>
            </w:r>
          </w:p>
        </w:tc>
        <w:tc>
          <w:tcPr>
            <w:tcW w:w="1582" w:type="dxa"/>
            <w:noWrap/>
            <w:vAlign w:val="center"/>
            <w:hideMark/>
          </w:tcPr>
          <w:p w14:paraId="63265968"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Fairly Good</w:t>
            </w:r>
          </w:p>
        </w:tc>
      </w:tr>
      <w:tr w:rsidR="00630B20" w:rsidRPr="00311CEC" w14:paraId="5489FA4B" w14:textId="77777777" w:rsidTr="00630B20">
        <w:trPr>
          <w:trHeight w:val="205"/>
          <w:jc w:val="center"/>
        </w:trPr>
        <w:tc>
          <w:tcPr>
            <w:tcW w:w="483" w:type="dxa"/>
            <w:noWrap/>
            <w:vAlign w:val="center"/>
            <w:hideMark/>
          </w:tcPr>
          <w:p w14:paraId="418C6257" w14:textId="77777777" w:rsidR="00630B20" w:rsidRPr="00311CEC" w:rsidRDefault="00630B20" w:rsidP="00311CEC">
            <w:pPr>
              <w:jc w:val="center"/>
              <w:rPr>
                <w:rFonts w:ascii="Arial" w:hAnsi="Arial" w:cs="Arial"/>
                <w:sz w:val="20"/>
                <w:szCs w:val="20"/>
                <w:lang w:val="en-US"/>
              </w:rPr>
            </w:pPr>
            <w:r w:rsidRPr="00311CEC">
              <w:rPr>
                <w:rFonts w:ascii="Arial" w:hAnsi="Arial" w:cs="Arial"/>
                <w:sz w:val="20"/>
                <w:szCs w:val="20"/>
                <w:lang w:val="en-US"/>
              </w:rPr>
              <w:t>3</w:t>
            </w:r>
          </w:p>
        </w:tc>
        <w:tc>
          <w:tcPr>
            <w:tcW w:w="3235" w:type="dxa"/>
            <w:noWrap/>
            <w:hideMark/>
          </w:tcPr>
          <w:p w14:paraId="41A58623" w14:textId="77777777" w:rsidR="00630B20" w:rsidRPr="00311CEC" w:rsidRDefault="00630B20" w:rsidP="00311CEC">
            <w:pPr>
              <w:rPr>
                <w:rFonts w:ascii="Arial" w:hAnsi="Arial" w:cs="Arial"/>
                <w:sz w:val="20"/>
                <w:szCs w:val="20"/>
              </w:rPr>
            </w:pPr>
            <w:r w:rsidRPr="00311CEC">
              <w:rPr>
                <w:rFonts w:ascii="Arial" w:hAnsi="Arial" w:cs="Arial"/>
                <w:sz w:val="20"/>
                <w:szCs w:val="20"/>
              </w:rPr>
              <w:t>Assignment Planning</w:t>
            </w:r>
          </w:p>
        </w:tc>
        <w:tc>
          <w:tcPr>
            <w:tcW w:w="828" w:type="dxa"/>
            <w:noWrap/>
            <w:vAlign w:val="center"/>
            <w:hideMark/>
          </w:tcPr>
          <w:p w14:paraId="0617C117"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477</w:t>
            </w:r>
          </w:p>
        </w:tc>
        <w:tc>
          <w:tcPr>
            <w:tcW w:w="717" w:type="dxa"/>
            <w:tcBorders>
              <w:left w:val="nil"/>
            </w:tcBorders>
            <w:noWrap/>
            <w:hideMark/>
          </w:tcPr>
          <w:p w14:paraId="585730B3"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680</w:t>
            </w:r>
          </w:p>
        </w:tc>
        <w:tc>
          <w:tcPr>
            <w:tcW w:w="717" w:type="dxa"/>
            <w:noWrap/>
            <w:vAlign w:val="center"/>
            <w:hideMark/>
          </w:tcPr>
          <w:p w14:paraId="23F4165A"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70,15</w:t>
            </w:r>
          </w:p>
        </w:tc>
        <w:tc>
          <w:tcPr>
            <w:tcW w:w="728" w:type="dxa"/>
            <w:vAlign w:val="center"/>
            <w:hideMark/>
          </w:tcPr>
          <w:p w14:paraId="660A2D92"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3,51</w:t>
            </w:r>
          </w:p>
        </w:tc>
        <w:tc>
          <w:tcPr>
            <w:tcW w:w="1582" w:type="dxa"/>
            <w:noWrap/>
            <w:vAlign w:val="center"/>
            <w:hideMark/>
          </w:tcPr>
          <w:p w14:paraId="2F8320B1"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Baik</w:t>
            </w:r>
          </w:p>
        </w:tc>
      </w:tr>
      <w:tr w:rsidR="00630B20" w:rsidRPr="00311CEC" w14:paraId="052936D7" w14:textId="77777777" w:rsidTr="00630B20">
        <w:trPr>
          <w:trHeight w:val="205"/>
          <w:jc w:val="center"/>
        </w:trPr>
        <w:tc>
          <w:tcPr>
            <w:tcW w:w="483" w:type="dxa"/>
            <w:noWrap/>
            <w:vAlign w:val="center"/>
            <w:hideMark/>
          </w:tcPr>
          <w:p w14:paraId="4C5400D6"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4</w:t>
            </w:r>
          </w:p>
        </w:tc>
        <w:tc>
          <w:tcPr>
            <w:tcW w:w="3235" w:type="dxa"/>
            <w:noWrap/>
            <w:hideMark/>
          </w:tcPr>
          <w:p w14:paraId="4DB0F9AB" w14:textId="77777777" w:rsidR="00630B20" w:rsidRPr="00311CEC" w:rsidRDefault="00630B20" w:rsidP="00311CEC">
            <w:pPr>
              <w:rPr>
                <w:rFonts w:ascii="Arial" w:hAnsi="Arial" w:cs="Arial"/>
                <w:sz w:val="20"/>
                <w:szCs w:val="20"/>
              </w:rPr>
            </w:pPr>
            <w:r w:rsidRPr="00311CEC">
              <w:rPr>
                <w:rFonts w:ascii="Arial" w:hAnsi="Arial" w:cs="Arial"/>
                <w:sz w:val="20"/>
                <w:szCs w:val="20"/>
              </w:rPr>
              <w:t>Assignment Execution</w:t>
            </w:r>
          </w:p>
        </w:tc>
        <w:tc>
          <w:tcPr>
            <w:tcW w:w="828" w:type="dxa"/>
            <w:noWrap/>
            <w:vAlign w:val="center"/>
            <w:hideMark/>
          </w:tcPr>
          <w:p w14:paraId="1966EC7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394</w:t>
            </w:r>
          </w:p>
        </w:tc>
        <w:tc>
          <w:tcPr>
            <w:tcW w:w="717" w:type="dxa"/>
            <w:tcBorders>
              <w:left w:val="nil"/>
            </w:tcBorders>
            <w:noWrap/>
            <w:hideMark/>
          </w:tcPr>
          <w:p w14:paraId="1C8B494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680</w:t>
            </w:r>
          </w:p>
        </w:tc>
        <w:tc>
          <w:tcPr>
            <w:tcW w:w="717" w:type="dxa"/>
            <w:noWrap/>
            <w:vAlign w:val="center"/>
            <w:hideMark/>
          </w:tcPr>
          <w:p w14:paraId="268823A2"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57,94</w:t>
            </w:r>
          </w:p>
        </w:tc>
        <w:tc>
          <w:tcPr>
            <w:tcW w:w="728" w:type="dxa"/>
            <w:vAlign w:val="center"/>
            <w:hideMark/>
          </w:tcPr>
          <w:p w14:paraId="4FCBBFB7"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2,89</w:t>
            </w:r>
          </w:p>
        </w:tc>
        <w:tc>
          <w:tcPr>
            <w:tcW w:w="1582" w:type="dxa"/>
            <w:noWrap/>
            <w:vAlign w:val="center"/>
            <w:hideMark/>
          </w:tcPr>
          <w:p w14:paraId="56869C5B"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Fairly Good</w:t>
            </w:r>
          </w:p>
        </w:tc>
      </w:tr>
      <w:tr w:rsidR="00630B20" w:rsidRPr="00311CEC" w14:paraId="3030D3AC" w14:textId="77777777" w:rsidTr="00630B20">
        <w:trPr>
          <w:trHeight w:val="205"/>
          <w:jc w:val="center"/>
        </w:trPr>
        <w:tc>
          <w:tcPr>
            <w:tcW w:w="483" w:type="dxa"/>
            <w:noWrap/>
            <w:vAlign w:val="center"/>
            <w:hideMark/>
          </w:tcPr>
          <w:p w14:paraId="1929792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w:t>
            </w:r>
          </w:p>
        </w:tc>
        <w:tc>
          <w:tcPr>
            <w:tcW w:w="3235" w:type="dxa"/>
            <w:noWrap/>
            <w:hideMark/>
          </w:tcPr>
          <w:p w14:paraId="671A671F" w14:textId="77777777" w:rsidR="00630B20" w:rsidRPr="00311CEC" w:rsidRDefault="00630B20" w:rsidP="00311CEC">
            <w:pPr>
              <w:rPr>
                <w:rFonts w:ascii="Arial" w:hAnsi="Arial" w:cs="Arial"/>
                <w:sz w:val="20"/>
                <w:szCs w:val="20"/>
              </w:rPr>
            </w:pPr>
            <w:r w:rsidRPr="00311CEC">
              <w:rPr>
                <w:rFonts w:ascii="Arial" w:hAnsi="Arial" w:cs="Arial"/>
                <w:sz w:val="20"/>
                <w:szCs w:val="20"/>
              </w:rPr>
              <w:t>Assignment Result Communication</w:t>
            </w:r>
          </w:p>
        </w:tc>
        <w:tc>
          <w:tcPr>
            <w:tcW w:w="828" w:type="dxa"/>
            <w:noWrap/>
            <w:vAlign w:val="center"/>
            <w:hideMark/>
          </w:tcPr>
          <w:p w14:paraId="7AF2FDCE"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580</w:t>
            </w:r>
          </w:p>
        </w:tc>
        <w:tc>
          <w:tcPr>
            <w:tcW w:w="717" w:type="dxa"/>
            <w:tcBorders>
              <w:left w:val="nil"/>
            </w:tcBorders>
            <w:noWrap/>
            <w:hideMark/>
          </w:tcPr>
          <w:p w14:paraId="56FFB71A"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850</w:t>
            </w:r>
          </w:p>
        </w:tc>
        <w:tc>
          <w:tcPr>
            <w:tcW w:w="717" w:type="dxa"/>
            <w:noWrap/>
            <w:vAlign w:val="center"/>
            <w:hideMark/>
          </w:tcPr>
          <w:p w14:paraId="2B20569C"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68,24</w:t>
            </w:r>
          </w:p>
        </w:tc>
        <w:tc>
          <w:tcPr>
            <w:tcW w:w="728" w:type="dxa"/>
            <w:vAlign w:val="center"/>
            <w:hideMark/>
          </w:tcPr>
          <w:p w14:paraId="12A7634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3,41</w:t>
            </w:r>
          </w:p>
        </w:tc>
        <w:tc>
          <w:tcPr>
            <w:tcW w:w="1582" w:type="dxa"/>
            <w:noWrap/>
            <w:vAlign w:val="center"/>
            <w:hideMark/>
          </w:tcPr>
          <w:p w14:paraId="3A998FD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Good</w:t>
            </w:r>
          </w:p>
        </w:tc>
      </w:tr>
      <w:tr w:rsidR="00630B20" w:rsidRPr="00311CEC" w14:paraId="4E68C23F" w14:textId="77777777" w:rsidTr="00630B20">
        <w:trPr>
          <w:trHeight w:val="205"/>
          <w:jc w:val="center"/>
        </w:trPr>
        <w:tc>
          <w:tcPr>
            <w:tcW w:w="483" w:type="dxa"/>
            <w:noWrap/>
            <w:vAlign w:val="center"/>
            <w:hideMark/>
          </w:tcPr>
          <w:p w14:paraId="5C3544C6"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lastRenderedPageBreak/>
              <w:t>6</w:t>
            </w:r>
          </w:p>
        </w:tc>
        <w:tc>
          <w:tcPr>
            <w:tcW w:w="3235" w:type="dxa"/>
            <w:noWrap/>
            <w:hideMark/>
          </w:tcPr>
          <w:p w14:paraId="029C513A" w14:textId="77777777" w:rsidR="00630B20" w:rsidRPr="00311CEC" w:rsidRDefault="00630B20" w:rsidP="00311CEC">
            <w:pPr>
              <w:rPr>
                <w:rFonts w:ascii="Arial" w:hAnsi="Arial" w:cs="Arial"/>
                <w:sz w:val="20"/>
                <w:szCs w:val="20"/>
              </w:rPr>
            </w:pPr>
            <w:r w:rsidRPr="00311CEC">
              <w:rPr>
                <w:rFonts w:ascii="Arial" w:hAnsi="Arial" w:cs="Arial"/>
                <w:sz w:val="20"/>
                <w:szCs w:val="20"/>
              </w:rPr>
              <w:t>Progress Monitoring</w:t>
            </w:r>
          </w:p>
        </w:tc>
        <w:tc>
          <w:tcPr>
            <w:tcW w:w="828" w:type="dxa"/>
            <w:noWrap/>
            <w:vAlign w:val="center"/>
            <w:hideMark/>
          </w:tcPr>
          <w:p w14:paraId="41E4C3C2"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191</w:t>
            </w:r>
          </w:p>
        </w:tc>
        <w:tc>
          <w:tcPr>
            <w:tcW w:w="717" w:type="dxa"/>
            <w:tcBorders>
              <w:left w:val="nil"/>
            </w:tcBorders>
            <w:noWrap/>
            <w:hideMark/>
          </w:tcPr>
          <w:p w14:paraId="0036D155"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340</w:t>
            </w:r>
          </w:p>
        </w:tc>
        <w:tc>
          <w:tcPr>
            <w:tcW w:w="717" w:type="dxa"/>
            <w:noWrap/>
            <w:vAlign w:val="center"/>
            <w:hideMark/>
          </w:tcPr>
          <w:p w14:paraId="52096AEA"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56,18</w:t>
            </w:r>
          </w:p>
        </w:tc>
        <w:tc>
          <w:tcPr>
            <w:tcW w:w="728" w:type="dxa"/>
            <w:vAlign w:val="center"/>
            <w:hideMark/>
          </w:tcPr>
          <w:p w14:paraId="4E578653"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2,81</w:t>
            </w:r>
          </w:p>
        </w:tc>
        <w:tc>
          <w:tcPr>
            <w:tcW w:w="1582" w:type="dxa"/>
            <w:noWrap/>
            <w:vAlign w:val="center"/>
            <w:hideMark/>
          </w:tcPr>
          <w:p w14:paraId="0EC8F4EC"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Fairly Good</w:t>
            </w:r>
          </w:p>
        </w:tc>
      </w:tr>
      <w:tr w:rsidR="00630B20" w:rsidRPr="00311CEC" w14:paraId="2FB75C14" w14:textId="77777777" w:rsidTr="00630B20">
        <w:trPr>
          <w:trHeight w:val="205"/>
          <w:jc w:val="center"/>
        </w:trPr>
        <w:tc>
          <w:tcPr>
            <w:tcW w:w="483" w:type="dxa"/>
            <w:noWrap/>
            <w:vAlign w:val="center"/>
            <w:hideMark/>
          </w:tcPr>
          <w:p w14:paraId="23F0D3CA"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7</w:t>
            </w:r>
          </w:p>
        </w:tc>
        <w:tc>
          <w:tcPr>
            <w:tcW w:w="3235" w:type="dxa"/>
            <w:noWrap/>
            <w:hideMark/>
          </w:tcPr>
          <w:p w14:paraId="68F9AB3F" w14:textId="77777777" w:rsidR="00630B20" w:rsidRPr="00311CEC" w:rsidRDefault="00630B20" w:rsidP="00311CEC">
            <w:pPr>
              <w:rPr>
                <w:rFonts w:ascii="Arial" w:hAnsi="Arial" w:cs="Arial"/>
                <w:sz w:val="20"/>
                <w:szCs w:val="20"/>
              </w:rPr>
            </w:pPr>
            <w:r w:rsidRPr="00311CEC">
              <w:rPr>
                <w:rFonts w:ascii="Arial" w:hAnsi="Arial" w:cs="Arial"/>
                <w:sz w:val="20"/>
                <w:szCs w:val="20"/>
              </w:rPr>
              <w:t>Risk Acceptance Communication</w:t>
            </w:r>
          </w:p>
        </w:tc>
        <w:tc>
          <w:tcPr>
            <w:tcW w:w="828" w:type="dxa"/>
            <w:noWrap/>
            <w:vAlign w:val="center"/>
            <w:hideMark/>
          </w:tcPr>
          <w:p w14:paraId="4D2B78F0"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252</w:t>
            </w:r>
          </w:p>
        </w:tc>
        <w:tc>
          <w:tcPr>
            <w:tcW w:w="717" w:type="dxa"/>
            <w:tcBorders>
              <w:left w:val="nil"/>
            </w:tcBorders>
            <w:noWrap/>
            <w:hideMark/>
          </w:tcPr>
          <w:p w14:paraId="17CB5BFE"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342</w:t>
            </w:r>
          </w:p>
        </w:tc>
        <w:tc>
          <w:tcPr>
            <w:tcW w:w="717" w:type="dxa"/>
            <w:noWrap/>
            <w:vAlign w:val="center"/>
            <w:hideMark/>
          </w:tcPr>
          <w:p w14:paraId="6F94D9B7"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74,12</w:t>
            </w:r>
          </w:p>
        </w:tc>
        <w:tc>
          <w:tcPr>
            <w:tcW w:w="728" w:type="dxa"/>
            <w:vAlign w:val="center"/>
            <w:hideMark/>
          </w:tcPr>
          <w:p w14:paraId="3C713565"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3,71</w:t>
            </w:r>
          </w:p>
        </w:tc>
        <w:tc>
          <w:tcPr>
            <w:tcW w:w="1582" w:type="dxa"/>
            <w:noWrap/>
            <w:vAlign w:val="center"/>
            <w:hideMark/>
          </w:tcPr>
          <w:p w14:paraId="5E1A3D87"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Good</w:t>
            </w:r>
          </w:p>
        </w:tc>
      </w:tr>
      <w:tr w:rsidR="00630B20" w:rsidRPr="00311CEC" w14:paraId="1CBE36F5" w14:textId="77777777" w:rsidTr="00630B20">
        <w:trPr>
          <w:trHeight w:val="77"/>
          <w:jc w:val="center"/>
        </w:trPr>
        <w:tc>
          <w:tcPr>
            <w:tcW w:w="3718" w:type="dxa"/>
            <w:gridSpan w:val="2"/>
            <w:tcBorders>
              <w:bottom w:val="single" w:sz="4" w:space="0" w:color="auto"/>
            </w:tcBorders>
            <w:noWrap/>
            <w:vAlign w:val="center"/>
            <w:hideMark/>
          </w:tcPr>
          <w:p w14:paraId="285444A8"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Total</w:t>
            </w:r>
          </w:p>
        </w:tc>
        <w:tc>
          <w:tcPr>
            <w:tcW w:w="828" w:type="dxa"/>
            <w:tcBorders>
              <w:bottom w:val="single" w:sz="4" w:space="0" w:color="auto"/>
            </w:tcBorders>
            <w:noWrap/>
            <w:vAlign w:val="center"/>
            <w:hideMark/>
          </w:tcPr>
          <w:p w14:paraId="43DAAF42"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2.996</w:t>
            </w:r>
          </w:p>
        </w:tc>
        <w:tc>
          <w:tcPr>
            <w:tcW w:w="717" w:type="dxa"/>
            <w:tcBorders>
              <w:left w:val="nil"/>
              <w:bottom w:val="single" w:sz="4" w:space="0" w:color="auto"/>
            </w:tcBorders>
            <w:noWrap/>
            <w:vAlign w:val="center"/>
            <w:hideMark/>
          </w:tcPr>
          <w:p w14:paraId="378242BB"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4.590</w:t>
            </w:r>
          </w:p>
        </w:tc>
        <w:tc>
          <w:tcPr>
            <w:tcW w:w="717" w:type="dxa"/>
            <w:tcBorders>
              <w:bottom w:val="single" w:sz="4" w:space="0" w:color="auto"/>
            </w:tcBorders>
            <w:noWrap/>
            <w:vAlign w:val="center"/>
            <w:hideMark/>
          </w:tcPr>
          <w:p w14:paraId="1B46CBEA"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65,27</w:t>
            </w:r>
          </w:p>
        </w:tc>
        <w:tc>
          <w:tcPr>
            <w:tcW w:w="728" w:type="dxa"/>
            <w:tcBorders>
              <w:bottom w:val="single" w:sz="4" w:space="0" w:color="auto"/>
            </w:tcBorders>
            <w:vAlign w:val="center"/>
            <w:hideMark/>
          </w:tcPr>
          <w:p w14:paraId="06098A88"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3,26</w:t>
            </w:r>
          </w:p>
        </w:tc>
        <w:tc>
          <w:tcPr>
            <w:tcW w:w="1582" w:type="dxa"/>
            <w:tcBorders>
              <w:bottom w:val="single" w:sz="4" w:space="0" w:color="auto"/>
            </w:tcBorders>
            <w:noWrap/>
            <w:vAlign w:val="center"/>
            <w:hideMark/>
          </w:tcPr>
          <w:p w14:paraId="37143190"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Fairly Good</w:t>
            </w:r>
          </w:p>
        </w:tc>
      </w:tr>
    </w:tbl>
    <w:p w14:paraId="484F2015" w14:textId="7F61555E" w:rsidR="00630B20" w:rsidRPr="00311CEC" w:rsidRDefault="00630B20" w:rsidP="00311CEC">
      <w:pPr>
        <w:jc w:val="center"/>
        <w:rPr>
          <w:rFonts w:ascii="Arial" w:hAnsi="Arial" w:cs="Arial"/>
          <w:sz w:val="20"/>
          <w:szCs w:val="20"/>
          <w:lang w:val="en-US"/>
        </w:rPr>
      </w:pPr>
      <w:r w:rsidRPr="00311CEC">
        <w:rPr>
          <w:rFonts w:ascii="Arial" w:hAnsi="Arial" w:cs="Arial"/>
          <w:sz w:val="20"/>
          <w:szCs w:val="20"/>
        </w:rPr>
        <w:t>Source: Data processed</w:t>
      </w:r>
      <w:r w:rsidRPr="00311CEC">
        <w:rPr>
          <w:rFonts w:ascii="Arial" w:hAnsi="Arial" w:cs="Arial"/>
          <w:sz w:val="20"/>
          <w:szCs w:val="20"/>
          <w:lang w:val="en-US"/>
        </w:rPr>
        <w:t xml:space="preserve"> </w:t>
      </w:r>
    </w:p>
    <w:p w14:paraId="1E8E9F9F" w14:textId="77777777" w:rsidR="00630B20" w:rsidRPr="00311CEC" w:rsidRDefault="00630B20" w:rsidP="00311CEC">
      <w:pPr>
        <w:jc w:val="center"/>
        <w:rPr>
          <w:rFonts w:ascii="Arial" w:hAnsi="Arial" w:cs="Arial"/>
          <w:lang w:val="en-US"/>
        </w:rPr>
      </w:pPr>
    </w:p>
    <w:p w14:paraId="608E5001" w14:textId="77777777" w:rsidR="00630B20" w:rsidRPr="00311CEC" w:rsidRDefault="00630B20" w:rsidP="00311CEC">
      <w:pPr>
        <w:ind w:firstLine="720"/>
        <w:jc w:val="both"/>
        <w:rPr>
          <w:rFonts w:ascii="Arial" w:hAnsi="Arial" w:cs="Arial"/>
        </w:rPr>
      </w:pPr>
      <w:r w:rsidRPr="00311CEC">
        <w:rPr>
          <w:rFonts w:ascii="Arial" w:hAnsi="Arial" w:cs="Arial"/>
        </w:rPr>
        <w:t>Based on table 1. above, the internal audit variable shows that the actual total score is 2.996, the ideal score is 4.590, the percentage value is 65,27%, and the mean score of 3.26 is included in the pretty good category. This shows that the implementation of the internal audit indicated by the Bandung City Logistics Agency (Bulog) is included in the fairly good category.</w:t>
      </w:r>
    </w:p>
    <w:p w14:paraId="4EA02DE0" w14:textId="77777777" w:rsidR="00630B20" w:rsidRPr="00311CEC" w:rsidRDefault="00630B20" w:rsidP="00311CEC">
      <w:pPr>
        <w:ind w:firstLine="720"/>
        <w:jc w:val="both"/>
        <w:rPr>
          <w:rFonts w:ascii="Arial" w:hAnsi="Arial" w:cs="Arial"/>
        </w:rPr>
      </w:pPr>
    </w:p>
    <w:p w14:paraId="720CB959" w14:textId="77777777" w:rsidR="00630B20" w:rsidRPr="00311CEC" w:rsidRDefault="00630B20" w:rsidP="00311CEC">
      <w:pPr>
        <w:jc w:val="center"/>
        <w:rPr>
          <w:rFonts w:ascii="Arial" w:hAnsi="Arial" w:cs="Arial"/>
          <w:b/>
        </w:rPr>
      </w:pPr>
      <w:r w:rsidRPr="00311CEC">
        <w:rPr>
          <w:rFonts w:ascii="Arial" w:hAnsi="Arial" w:cs="Arial"/>
          <w:b/>
        </w:rPr>
        <w:t>Table 2. Recapitulation of Respondents' Responses Regarding Fraud Prevention Variables</w:t>
      </w:r>
    </w:p>
    <w:tbl>
      <w:tblPr>
        <w:tblW w:w="8956" w:type="dxa"/>
        <w:jc w:val="center"/>
        <w:tblLook w:val="04A0" w:firstRow="1" w:lastRow="0" w:firstColumn="1" w:lastColumn="0" w:noHBand="0" w:noVBand="1"/>
      </w:tblPr>
      <w:tblGrid>
        <w:gridCol w:w="972"/>
        <w:gridCol w:w="3158"/>
        <w:gridCol w:w="898"/>
        <w:gridCol w:w="891"/>
        <w:gridCol w:w="717"/>
        <w:gridCol w:w="772"/>
        <w:gridCol w:w="1548"/>
      </w:tblGrid>
      <w:tr w:rsidR="00630B20" w:rsidRPr="00311CEC" w14:paraId="449C6D64" w14:textId="77777777" w:rsidTr="00630B20">
        <w:trPr>
          <w:trHeight w:val="77"/>
          <w:jc w:val="center"/>
        </w:trPr>
        <w:tc>
          <w:tcPr>
            <w:tcW w:w="972" w:type="dxa"/>
            <w:tcBorders>
              <w:top w:val="single" w:sz="4" w:space="0" w:color="auto"/>
              <w:bottom w:val="single" w:sz="4" w:space="0" w:color="auto"/>
            </w:tcBorders>
            <w:noWrap/>
            <w:vAlign w:val="center"/>
            <w:hideMark/>
          </w:tcPr>
          <w:p w14:paraId="6D2F7667"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Number</w:t>
            </w:r>
          </w:p>
        </w:tc>
        <w:tc>
          <w:tcPr>
            <w:tcW w:w="3158" w:type="dxa"/>
            <w:tcBorders>
              <w:top w:val="single" w:sz="4" w:space="0" w:color="auto"/>
              <w:bottom w:val="single" w:sz="4" w:space="0" w:color="auto"/>
            </w:tcBorders>
            <w:noWrap/>
            <w:vAlign w:val="center"/>
            <w:hideMark/>
          </w:tcPr>
          <w:p w14:paraId="50DE3CFC"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Indicator</w:t>
            </w:r>
          </w:p>
        </w:tc>
        <w:tc>
          <w:tcPr>
            <w:tcW w:w="898" w:type="dxa"/>
            <w:tcBorders>
              <w:top w:val="single" w:sz="4" w:space="0" w:color="auto"/>
              <w:bottom w:val="single" w:sz="4" w:space="0" w:color="auto"/>
            </w:tcBorders>
            <w:vAlign w:val="center"/>
            <w:hideMark/>
          </w:tcPr>
          <w:p w14:paraId="78D67B37"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Actual Score</w:t>
            </w:r>
          </w:p>
        </w:tc>
        <w:tc>
          <w:tcPr>
            <w:tcW w:w="891" w:type="dxa"/>
            <w:tcBorders>
              <w:top w:val="single" w:sz="4" w:space="0" w:color="auto"/>
              <w:bottom w:val="single" w:sz="4" w:space="0" w:color="auto"/>
            </w:tcBorders>
            <w:vAlign w:val="center"/>
            <w:hideMark/>
          </w:tcPr>
          <w:p w14:paraId="5741EDDB"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Ideal Score</w:t>
            </w:r>
          </w:p>
        </w:tc>
        <w:tc>
          <w:tcPr>
            <w:tcW w:w="717" w:type="dxa"/>
            <w:tcBorders>
              <w:top w:val="single" w:sz="4" w:space="0" w:color="auto"/>
              <w:bottom w:val="single" w:sz="4" w:space="0" w:color="auto"/>
            </w:tcBorders>
            <w:noWrap/>
            <w:vAlign w:val="center"/>
            <w:hideMark/>
          </w:tcPr>
          <w:p w14:paraId="174ED496"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w:t>
            </w:r>
          </w:p>
        </w:tc>
        <w:tc>
          <w:tcPr>
            <w:tcW w:w="772" w:type="dxa"/>
            <w:tcBorders>
              <w:top w:val="single" w:sz="4" w:space="0" w:color="auto"/>
              <w:bottom w:val="single" w:sz="4" w:space="0" w:color="auto"/>
            </w:tcBorders>
            <w:hideMark/>
          </w:tcPr>
          <w:p w14:paraId="463E32CB"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Mean Score</w:t>
            </w:r>
          </w:p>
        </w:tc>
        <w:tc>
          <w:tcPr>
            <w:tcW w:w="1548" w:type="dxa"/>
            <w:tcBorders>
              <w:top w:val="single" w:sz="4" w:space="0" w:color="auto"/>
              <w:bottom w:val="single" w:sz="4" w:space="0" w:color="auto"/>
            </w:tcBorders>
            <w:noWrap/>
            <w:vAlign w:val="center"/>
            <w:hideMark/>
          </w:tcPr>
          <w:p w14:paraId="5B2F6757"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Category</w:t>
            </w:r>
          </w:p>
        </w:tc>
      </w:tr>
      <w:tr w:rsidR="00630B20" w:rsidRPr="00311CEC" w14:paraId="464F6E83" w14:textId="77777777" w:rsidTr="00630B20">
        <w:trPr>
          <w:trHeight w:val="223"/>
          <w:jc w:val="center"/>
        </w:trPr>
        <w:tc>
          <w:tcPr>
            <w:tcW w:w="972" w:type="dxa"/>
            <w:tcBorders>
              <w:top w:val="single" w:sz="4" w:space="0" w:color="auto"/>
            </w:tcBorders>
            <w:noWrap/>
            <w:vAlign w:val="center"/>
            <w:hideMark/>
          </w:tcPr>
          <w:p w14:paraId="401D67A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1</w:t>
            </w:r>
          </w:p>
        </w:tc>
        <w:tc>
          <w:tcPr>
            <w:tcW w:w="3158" w:type="dxa"/>
            <w:tcBorders>
              <w:top w:val="single" w:sz="4" w:space="0" w:color="auto"/>
            </w:tcBorders>
            <w:noWrap/>
            <w:hideMark/>
          </w:tcPr>
          <w:p w14:paraId="431F233A" w14:textId="77777777" w:rsidR="00630B20" w:rsidRPr="00311CEC" w:rsidRDefault="00630B20" w:rsidP="00311CEC">
            <w:pPr>
              <w:rPr>
                <w:rFonts w:ascii="Arial" w:hAnsi="Arial" w:cs="Arial"/>
                <w:sz w:val="20"/>
                <w:szCs w:val="20"/>
              </w:rPr>
            </w:pPr>
            <w:r w:rsidRPr="00311CEC">
              <w:rPr>
                <w:rFonts w:ascii="Arial" w:hAnsi="Arial" w:cs="Arial"/>
                <w:sz w:val="20"/>
                <w:szCs w:val="20"/>
              </w:rPr>
              <w:t>Building a Good Internal Control Structure</w:t>
            </w:r>
          </w:p>
        </w:tc>
        <w:tc>
          <w:tcPr>
            <w:tcW w:w="898" w:type="dxa"/>
            <w:tcBorders>
              <w:top w:val="single" w:sz="4" w:space="0" w:color="auto"/>
            </w:tcBorders>
            <w:noWrap/>
            <w:vAlign w:val="center"/>
            <w:hideMark/>
          </w:tcPr>
          <w:p w14:paraId="1C973792"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537</w:t>
            </w:r>
          </w:p>
        </w:tc>
        <w:tc>
          <w:tcPr>
            <w:tcW w:w="891" w:type="dxa"/>
            <w:tcBorders>
              <w:top w:val="single" w:sz="4" w:space="0" w:color="auto"/>
            </w:tcBorders>
            <w:noWrap/>
            <w:vAlign w:val="center"/>
            <w:hideMark/>
          </w:tcPr>
          <w:p w14:paraId="703BAB29"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850</w:t>
            </w:r>
          </w:p>
        </w:tc>
        <w:tc>
          <w:tcPr>
            <w:tcW w:w="717" w:type="dxa"/>
            <w:tcBorders>
              <w:top w:val="single" w:sz="4" w:space="0" w:color="auto"/>
            </w:tcBorders>
            <w:noWrap/>
            <w:vAlign w:val="center"/>
            <w:hideMark/>
          </w:tcPr>
          <w:p w14:paraId="3C223CE7"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63,18</w:t>
            </w:r>
          </w:p>
        </w:tc>
        <w:tc>
          <w:tcPr>
            <w:tcW w:w="772" w:type="dxa"/>
            <w:tcBorders>
              <w:top w:val="single" w:sz="4" w:space="0" w:color="auto"/>
            </w:tcBorders>
            <w:vAlign w:val="center"/>
            <w:hideMark/>
          </w:tcPr>
          <w:p w14:paraId="0887513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3,16</w:t>
            </w:r>
          </w:p>
        </w:tc>
        <w:tc>
          <w:tcPr>
            <w:tcW w:w="1548" w:type="dxa"/>
            <w:tcBorders>
              <w:top w:val="single" w:sz="4" w:space="0" w:color="auto"/>
            </w:tcBorders>
            <w:noWrap/>
            <w:vAlign w:val="center"/>
            <w:hideMark/>
          </w:tcPr>
          <w:p w14:paraId="4A44A3D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Fairly Good</w:t>
            </w:r>
          </w:p>
        </w:tc>
      </w:tr>
      <w:tr w:rsidR="00630B20" w:rsidRPr="00311CEC" w14:paraId="0320136C" w14:textId="77777777" w:rsidTr="00630B20">
        <w:trPr>
          <w:trHeight w:val="205"/>
          <w:jc w:val="center"/>
        </w:trPr>
        <w:tc>
          <w:tcPr>
            <w:tcW w:w="972" w:type="dxa"/>
            <w:noWrap/>
            <w:vAlign w:val="center"/>
            <w:hideMark/>
          </w:tcPr>
          <w:p w14:paraId="704F82E2"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w:t>
            </w:r>
          </w:p>
        </w:tc>
        <w:tc>
          <w:tcPr>
            <w:tcW w:w="3158" w:type="dxa"/>
            <w:noWrap/>
            <w:hideMark/>
          </w:tcPr>
          <w:p w14:paraId="355D1C80" w14:textId="77777777" w:rsidR="00630B20" w:rsidRPr="00311CEC" w:rsidRDefault="00630B20" w:rsidP="00311CEC">
            <w:pPr>
              <w:rPr>
                <w:rFonts w:ascii="Arial" w:hAnsi="Arial" w:cs="Arial"/>
                <w:sz w:val="20"/>
                <w:szCs w:val="20"/>
              </w:rPr>
            </w:pPr>
            <w:r w:rsidRPr="00311CEC">
              <w:rPr>
                <w:rFonts w:ascii="Arial" w:hAnsi="Arial" w:cs="Arial"/>
                <w:sz w:val="20"/>
                <w:szCs w:val="20"/>
              </w:rPr>
              <w:t>Streamlining Control Activities</w:t>
            </w:r>
          </w:p>
        </w:tc>
        <w:tc>
          <w:tcPr>
            <w:tcW w:w="898" w:type="dxa"/>
            <w:noWrap/>
            <w:vAlign w:val="center"/>
            <w:hideMark/>
          </w:tcPr>
          <w:p w14:paraId="501B32D7"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493</w:t>
            </w:r>
          </w:p>
        </w:tc>
        <w:tc>
          <w:tcPr>
            <w:tcW w:w="891" w:type="dxa"/>
            <w:noWrap/>
            <w:hideMark/>
          </w:tcPr>
          <w:p w14:paraId="3E7A41D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680</w:t>
            </w:r>
          </w:p>
        </w:tc>
        <w:tc>
          <w:tcPr>
            <w:tcW w:w="717" w:type="dxa"/>
            <w:noWrap/>
            <w:vAlign w:val="center"/>
            <w:hideMark/>
          </w:tcPr>
          <w:p w14:paraId="733D9A5E"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72,50</w:t>
            </w:r>
          </w:p>
        </w:tc>
        <w:tc>
          <w:tcPr>
            <w:tcW w:w="772" w:type="dxa"/>
            <w:vAlign w:val="center"/>
            <w:hideMark/>
          </w:tcPr>
          <w:p w14:paraId="1D57F53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3,63</w:t>
            </w:r>
          </w:p>
        </w:tc>
        <w:tc>
          <w:tcPr>
            <w:tcW w:w="1548" w:type="dxa"/>
            <w:noWrap/>
            <w:vAlign w:val="center"/>
            <w:hideMark/>
          </w:tcPr>
          <w:p w14:paraId="52683758"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Good</w:t>
            </w:r>
          </w:p>
        </w:tc>
      </w:tr>
      <w:tr w:rsidR="00630B20" w:rsidRPr="00311CEC" w14:paraId="6A0ED770" w14:textId="77777777" w:rsidTr="00630B20">
        <w:trPr>
          <w:trHeight w:val="205"/>
          <w:jc w:val="center"/>
        </w:trPr>
        <w:tc>
          <w:tcPr>
            <w:tcW w:w="972" w:type="dxa"/>
            <w:noWrap/>
            <w:vAlign w:val="center"/>
            <w:hideMark/>
          </w:tcPr>
          <w:p w14:paraId="0095D1A8" w14:textId="77777777" w:rsidR="00630B20" w:rsidRPr="00311CEC" w:rsidRDefault="00630B20" w:rsidP="00311CEC">
            <w:pPr>
              <w:jc w:val="center"/>
              <w:rPr>
                <w:rFonts w:ascii="Arial" w:hAnsi="Arial" w:cs="Arial"/>
                <w:sz w:val="20"/>
                <w:szCs w:val="20"/>
                <w:lang w:val="en-US"/>
              </w:rPr>
            </w:pPr>
            <w:r w:rsidRPr="00311CEC">
              <w:rPr>
                <w:rFonts w:ascii="Arial" w:hAnsi="Arial" w:cs="Arial"/>
                <w:sz w:val="20"/>
                <w:szCs w:val="20"/>
                <w:lang w:val="en-US"/>
              </w:rPr>
              <w:t>3</w:t>
            </w:r>
          </w:p>
        </w:tc>
        <w:tc>
          <w:tcPr>
            <w:tcW w:w="3158" w:type="dxa"/>
            <w:noWrap/>
            <w:hideMark/>
          </w:tcPr>
          <w:p w14:paraId="0E98CF16" w14:textId="77777777" w:rsidR="00630B20" w:rsidRPr="00311CEC" w:rsidRDefault="00630B20" w:rsidP="00311CEC">
            <w:pPr>
              <w:rPr>
                <w:rFonts w:ascii="Arial" w:hAnsi="Arial" w:cs="Arial"/>
                <w:sz w:val="20"/>
                <w:szCs w:val="20"/>
              </w:rPr>
            </w:pPr>
            <w:r w:rsidRPr="00311CEC">
              <w:rPr>
                <w:rFonts w:ascii="Arial" w:hAnsi="Arial" w:cs="Arial"/>
                <w:sz w:val="20"/>
                <w:szCs w:val="20"/>
              </w:rPr>
              <w:t>Improving Organizational Culture</w:t>
            </w:r>
          </w:p>
        </w:tc>
        <w:tc>
          <w:tcPr>
            <w:tcW w:w="898" w:type="dxa"/>
            <w:noWrap/>
            <w:vAlign w:val="center"/>
            <w:hideMark/>
          </w:tcPr>
          <w:p w14:paraId="174D3A2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601</w:t>
            </w:r>
          </w:p>
        </w:tc>
        <w:tc>
          <w:tcPr>
            <w:tcW w:w="891" w:type="dxa"/>
            <w:noWrap/>
            <w:hideMark/>
          </w:tcPr>
          <w:p w14:paraId="08BDD076"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850</w:t>
            </w:r>
          </w:p>
        </w:tc>
        <w:tc>
          <w:tcPr>
            <w:tcW w:w="717" w:type="dxa"/>
            <w:noWrap/>
            <w:vAlign w:val="center"/>
            <w:hideMark/>
          </w:tcPr>
          <w:p w14:paraId="74F2EB0E"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70,71</w:t>
            </w:r>
          </w:p>
        </w:tc>
        <w:tc>
          <w:tcPr>
            <w:tcW w:w="772" w:type="dxa"/>
            <w:vAlign w:val="center"/>
            <w:hideMark/>
          </w:tcPr>
          <w:p w14:paraId="26306038"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3,54</w:t>
            </w:r>
          </w:p>
        </w:tc>
        <w:tc>
          <w:tcPr>
            <w:tcW w:w="1548" w:type="dxa"/>
            <w:noWrap/>
            <w:vAlign w:val="center"/>
            <w:hideMark/>
          </w:tcPr>
          <w:p w14:paraId="28E81232"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Good</w:t>
            </w:r>
          </w:p>
        </w:tc>
      </w:tr>
      <w:tr w:rsidR="00630B20" w:rsidRPr="00311CEC" w14:paraId="7CE9E4DF" w14:textId="77777777" w:rsidTr="00630B20">
        <w:trPr>
          <w:trHeight w:val="205"/>
          <w:jc w:val="center"/>
        </w:trPr>
        <w:tc>
          <w:tcPr>
            <w:tcW w:w="972" w:type="dxa"/>
            <w:noWrap/>
            <w:vAlign w:val="center"/>
            <w:hideMark/>
          </w:tcPr>
          <w:p w14:paraId="566BC445"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4</w:t>
            </w:r>
          </w:p>
        </w:tc>
        <w:tc>
          <w:tcPr>
            <w:tcW w:w="3158" w:type="dxa"/>
            <w:noWrap/>
            <w:hideMark/>
          </w:tcPr>
          <w:p w14:paraId="7F556A12" w14:textId="77777777" w:rsidR="00630B20" w:rsidRPr="00311CEC" w:rsidRDefault="00630B20" w:rsidP="00311CEC">
            <w:pPr>
              <w:rPr>
                <w:rFonts w:ascii="Arial" w:hAnsi="Arial" w:cs="Arial"/>
                <w:sz w:val="20"/>
                <w:szCs w:val="20"/>
              </w:rPr>
            </w:pPr>
            <w:r w:rsidRPr="00311CEC">
              <w:rPr>
                <w:rFonts w:ascii="Arial" w:hAnsi="Arial" w:cs="Arial"/>
                <w:sz w:val="20"/>
                <w:szCs w:val="20"/>
              </w:rPr>
              <w:t>Streamlining the Internal Audit Function</w:t>
            </w:r>
          </w:p>
        </w:tc>
        <w:tc>
          <w:tcPr>
            <w:tcW w:w="898" w:type="dxa"/>
            <w:noWrap/>
            <w:vAlign w:val="center"/>
            <w:hideMark/>
          </w:tcPr>
          <w:p w14:paraId="0AD34108"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281</w:t>
            </w:r>
          </w:p>
        </w:tc>
        <w:tc>
          <w:tcPr>
            <w:tcW w:w="891" w:type="dxa"/>
            <w:noWrap/>
            <w:hideMark/>
          </w:tcPr>
          <w:p w14:paraId="6572998F"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510</w:t>
            </w:r>
          </w:p>
        </w:tc>
        <w:tc>
          <w:tcPr>
            <w:tcW w:w="717" w:type="dxa"/>
            <w:noWrap/>
            <w:vAlign w:val="center"/>
            <w:hideMark/>
          </w:tcPr>
          <w:p w14:paraId="7879F1FD"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55,10</w:t>
            </w:r>
          </w:p>
        </w:tc>
        <w:tc>
          <w:tcPr>
            <w:tcW w:w="772" w:type="dxa"/>
            <w:vAlign w:val="center"/>
            <w:hideMark/>
          </w:tcPr>
          <w:p w14:paraId="79457E74"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2,75</w:t>
            </w:r>
          </w:p>
        </w:tc>
        <w:tc>
          <w:tcPr>
            <w:tcW w:w="1548" w:type="dxa"/>
            <w:noWrap/>
            <w:vAlign w:val="center"/>
            <w:hideMark/>
          </w:tcPr>
          <w:p w14:paraId="7A11189B" w14:textId="77777777" w:rsidR="00630B20" w:rsidRPr="00311CEC" w:rsidRDefault="00630B20" w:rsidP="00311CEC">
            <w:pPr>
              <w:jc w:val="center"/>
              <w:rPr>
                <w:rFonts w:ascii="Arial" w:hAnsi="Arial" w:cs="Arial"/>
                <w:sz w:val="20"/>
                <w:szCs w:val="20"/>
              </w:rPr>
            </w:pPr>
            <w:r w:rsidRPr="00311CEC">
              <w:rPr>
                <w:rFonts w:ascii="Arial" w:hAnsi="Arial" w:cs="Arial"/>
                <w:sz w:val="20"/>
                <w:szCs w:val="20"/>
              </w:rPr>
              <w:t>Fairly Good</w:t>
            </w:r>
          </w:p>
        </w:tc>
      </w:tr>
      <w:tr w:rsidR="00630B20" w:rsidRPr="00311CEC" w14:paraId="6DCD9248" w14:textId="77777777" w:rsidTr="00630B20">
        <w:trPr>
          <w:trHeight w:val="77"/>
          <w:jc w:val="center"/>
        </w:trPr>
        <w:tc>
          <w:tcPr>
            <w:tcW w:w="4130" w:type="dxa"/>
            <w:gridSpan w:val="2"/>
            <w:tcBorders>
              <w:bottom w:val="single" w:sz="4" w:space="0" w:color="auto"/>
            </w:tcBorders>
            <w:noWrap/>
            <w:vAlign w:val="center"/>
            <w:hideMark/>
          </w:tcPr>
          <w:p w14:paraId="33FE34E0"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Total</w:t>
            </w:r>
          </w:p>
        </w:tc>
        <w:tc>
          <w:tcPr>
            <w:tcW w:w="898" w:type="dxa"/>
            <w:tcBorders>
              <w:bottom w:val="single" w:sz="4" w:space="0" w:color="auto"/>
            </w:tcBorders>
            <w:noWrap/>
            <w:vAlign w:val="center"/>
            <w:hideMark/>
          </w:tcPr>
          <w:p w14:paraId="3A3F4493" w14:textId="77777777" w:rsidR="00630B20" w:rsidRPr="00311CEC" w:rsidRDefault="00630B20" w:rsidP="00311CEC">
            <w:pPr>
              <w:jc w:val="center"/>
              <w:rPr>
                <w:rFonts w:ascii="Arial" w:hAnsi="Arial" w:cs="Arial"/>
                <w:b/>
                <w:bCs/>
                <w:sz w:val="20"/>
                <w:szCs w:val="20"/>
              </w:rPr>
            </w:pPr>
            <w:r w:rsidRPr="00311CEC">
              <w:rPr>
                <w:rFonts w:ascii="Arial" w:hAnsi="Arial" w:cs="Arial"/>
                <w:b/>
                <w:bCs/>
                <w:sz w:val="20"/>
                <w:szCs w:val="20"/>
              </w:rPr>
              <w:t>1.912</w:t>
            </w:r>
          </w:p>
        </w:tc>
        <w:tc>
          <w:tcPr>
            <w:tcW w:w="891" w:type="dxa"/>
            <w:tcBorders>
              <w:bottom w:val="single" w:sz="4" w:space="0" w:color="auto"/>
            </w:tcBorders>
            <w:noWrap/>
            <w:vAlign w:val="center"/>
            <w:hideMark/>
          </w:tcPr>
          <w:p w14:paraId="28369505"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2.890</w:t>
            </w:r>
          </w:p>
        </w:tc>
        <w:tc>
          <w:tcPr>
            <w:tcW w:w="717" w:type="dxa"/>
            <w:tcBorders>
              <w:bottom w:val="single" w:sz="4" w:space="0" w:color="auto"/>
            </w:tcBorders>
            <w:noWrap/>
            <w:vAlign w:val="center"/>
            <w:hideMark/>
          </w:tcPr>
          <w:p w14:paraId="50FF9D95"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66,16</w:t>
            </w:r>
          </w:p>
        </w:tc>
        <w:tc>
          <w:tcPr>
            <w:tcW w:w="772" w:type="dxa"/>
            <w:tcBorders>
              <w:bottom w:val="single" w:sz="4" w:space="0" w:color="auto"/>
            </w:tcBorders>
            <w:vAlign w:val="center"/>
            <w:hideMark/>
          </w:tcPr>
          <w:p w14:paraId="794D42E1"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3,31</w:t>
            </w:r>
          </w:p>
        </w:tc>
        <w:tc>
          <w:tcPr>
            <w:tcW w:w="1548" w:type="dxa"/>
            <w:tcBorders>
              <w:bottom w:val="single" w:sz="4" w:space="0" w:color="auto"/>
            </w:tcBorders>
            <w:noWrap/>
            <w:vAlign w:val="center"/>
            <w:hideMark/>
          </w:tcPr>
          <w:p w14:paraId="240BA534"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Fairly Good</w:t>
            </w:r>
          </w:p>
        </w:tc>
      </w:tr>
    </w:tbl>
    <w:p w14:paraId="0271BE8F" w14:textId="0BBEE4FF" w:rsidR="00630B20" w:rsidRPr="00311CEC" w:rsidRDefault="00630B20" w:rsidP="00311CEC">
      <w:pPr>
        <w:jc w:val="center"/>
        <w:rPr>
          <w:rFonts w:ascii="Arial" w:hAnsi="Arial" w:cs="Arial"/>
          <w:sz w:val="20"/>
          <w:szCs w:val="20"/>
          <w:lang w:val="en-US"/>
        </w:rPr>
      </w:pPr>
      <w:r w:rsidRPr="00311CEC">
        <w:rPr>
          <w:rFonts w:ascii="Arial" w:hAnsi="Arial" w:cs="Arial"/>
          <w:sz w:val="20"/>
          <w:szCs w:val="20"/>
        </w:rPr>
        <w:t>Source: Data processed</w:t>
      </w:r>
      <w:r w:rsidRPr="00311CEC">
        <w:rPr>
          <w:rFonts w:ascii="Arial" w:hAnsi="Arial" w:cs="Arial"/>
          <w:sz w:val="20"/>
          <w:szCs w:val="20"/>
          <w:lang w:val="en-US"/>
        </w:rPr>
        <w:t xml:space="preserve"> </w:t>
      </w:r>
    </w:p>
    <w:p w14:paraId="658A7532" w14:textId="77777777" w:rsidR="00630B20" w:rsidRPr="00311CEC" w:rsidRDefault="00630B20" w:rsidP="00311CEC">
      <w:pPr>
        <w:jc w:val="center"/>
        <w:rPr>
          <w:rFonts w:ascii="Arial" w:hAnsi="Arial" w:cs="Arial"/>
          <w:lang w:val="en-US"/>
        </w:rPr>
      </w:pPr>
    </w:p>
    <w:p w14:paraId="60A824BA" w14:textId="77777777" w:rsidR="00630B20" w:rsidRPr="00311CEC" w:rsidRDefault="00630B20" w:rsidP="00311CEC">
      <w:pPr>
        <w:ind w:firstLine="720"/>
        <w:jc w:val="both"/>
        <w:rPr>
          <w:rFonts w:ascii="Arial" w:hAnsi="Arial" w:cs="Arial"/>
        </w:rPr>
      </w:pPr>
      <w:r w:rsidRPr="00311CEC">
        <w:rPr>
          <w:rFonts w:ascii="Arial" w:hAnsi="Arial" w:cs="Arial"/>
        </w:rPr>
        <w:t>Based on table 2. above, the fraud prevention variable shows that the actual total score is 1.912, the ideal score is 2.890, the percentage value is 66,16%, and the mean score of 3.31 is included in the pretty good category. This shows that the fraud prevention shown by the Bandung City Logistics Agency is included in the fairly good category.</w:t>
      </w:r>
    </w:p>
    <w:p w14:paraId="2D95D6EE" w14:textId="77777777" w:rsidR="00630B20" w:rsidRPr="00311CEC" w:rsidRDefault="00630B20" w:rsidP="00311CEC">
      <w:pPr>
        <w:ind w:firstLine="720"/>
        <w:jc w:val="both"/>
        <w:rPr>
          <w:rFonts w:ascii="Arial" w:hAnsi="Arial" w:cs="Arial"/>
        </w:rPr>
      </w:pPr>
    </w:p>
    <w:p w14:paraId="68632D65" w14:textId="77777777" w:rsidR="00630B20" w:rsidRPr="00311CEC" w:rsidRDefault="00630B20" w:rsidP="00311CEC">
      <w:pPr>
        <w:jc w:val="center"/>
        <w:rPr>
          <w:rFonts w:ascii="Arial" w:hAnsi="Arial" w:cs="Arial"/>
          <w:b/>
          <w:bCs/>
          <w:color w:val="000000"/>
        </w:rPr>
      </w:pPr>
      <w:r w:rsidRPr="00311CEC">
        <w:rPr>
          <w:rFonts w:ascii="Arial" w:hAnsi="Arial" w:cs="Arial"/>
          <w:b/>
          <w:bCs/>
          <w:color w:val="000000"/>
        </w:rPr>
        <w:t>Table 3. Simple Linear Regression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24"/>
      </w:tblGrid>
      <w:tr w:rsidR="00630B20" w:rsidRPr="00311CEC" w14:paraId="15354689" w14:textId="77777777" w:rsidTr="00630B20">
        <w:trPr>
          <w:trHeight w:val="77"/>
          <w:jc w:val="center"/>
        </w:trPr>
        <w:tc>
          <w:tcPr>
            <w:tcW w:w="2943" w:type="dxa"/>
            <w:tcBorders>
              <w:left w:val="nil"/>
              <w:bottom w:val="single" w:sz="4" w:space="0" w:color="auto"/>
              <w:right w:val="nil"/>
            </w:tcBorders>
            <w:vAlign w:val="bottom"/>
          </w:tcPr>
          <w:p w14:paraId="3FD159BA" w14:textId="77777777" w:rsidR="00630B20" w:rsidRPr="00311CEC" w:rsidRDefault="00630B20" w:rsidP="00311CEC">
            <w:pPr>
              <w:autoSpaceDE w:val="0"/>
              <w:autoSpaceDN w:val="0"/>
              <w:adjustRightInd w:val="0"/>
              <w:jc w:val="center"/>
              <w:rPr>
                <w:rFonts w:ascii="Arial" w:hAnsi="Arial" w:cs="Arial"/>
                <w:b/>
                <w:color w:val="000000"/>
                <w:sz w:val="20"/>
                <w:szCs w:val="20"/>
                <w:lang w:eastAsia="id-ID"/>
              </w:rPr>
            </w:pPr>
            <w:r w:rsidRPr="00311CEC">
              <w:rPr>
                <w:rFonts w:ascii="Arial" w:hAnsi="Arial" w:cs="Arial"/>
                <w:b/>
                <w:color w:val="000000"/>
                <w:sz w:val="20"/>
                <w:szCs w:val="20"/>
                <w:lang w:eastAsia="id-ID"/>
              </w:rPr>
              <w:t>Variabel</w:t>
            </w:r>
          </w:p>
        </w:tc>
        <w:tc>
          <w:tcPr>
            <w:tcW w:w="1524" w:type="dxa"/>
            <w:tcBorders>
              <w:left w:val="nil"/>
              <w:bottom w:val="single" w:sz="4" w:space="0" w:color="auto"/>
              <w:right w:val="nil"/>
            </w:tcBorders>
          </w:tcPr>
          <w:p w14:paraId="5D6C0CD6" w14:textId="77777777" w:rsidR="00630B20" w:rsidRPr="00311CEC" w:rsidRDefault="00630B20" w:rsidP="00311CEC">
            <w:pPr>
              <w:tabs>
                <w:tab w:val="left" w:pos="0"/>
              </w:tabs>
              <w:jc w:val="center"/>
              <w:rPr>
                <w:rFonts w:ascii="Arial" w:hAnsi="Arial" w:cs="Arial"/>
                <w:b/>
                <w:color w:val="000000"/>
                <w:sz w:val="20"/>
                <w:szCs w:val="20"/>
              </w:rPr>
            </w:pPr>
            <w:r w:rsidRPr="00311CEC">
              <w:rPr>
                <w:rFonts w:ascii="Arial" w:hAnsi="Arial" w:cs="Arial"/>
                <w:b/>
                <w:color w:val="000000"/>
                <w:sz w:val="20"/>
                <w:szCs w:val="20"/>
                <w:lang w:eastAsia="id-ID"/>
              </w:rPr>
              <w:t>Koefesien</w:t>
            </w:r>
          </w:p>
        </w:tc>
      </w:tr>
      <w:tr w:rsidR="00630B20" w:rsidRPr="00311CEC" w14:paraId="2DC6A6AC" w14:textId="77777777" w:rsidTr="00630B20">
        <w:trPr>
          <w:jc w:val="center"/>
        </w:trPr>
        <w:tc>
          <w:tcPr>
            <w:tcW w:w="2943" w:type="dxa"/>
            <w:tcBorders>
              <w:left w:val="nil"/>
              <w:bottom w:val="nil"/>
              <w:right w:val="nil"/>
            </w:tcBorders>
            <w:vAlign w:val="bottom"/>
          </w:tcPr>
          <w:p w14:paraId="37DFB29D" w14:textId="77777777" w:rsidR="00630B20" w:rsidRPr="00311CEC" w:rsidRDefault="00630B20" w:rsidP="00311CEC">
            <w:pPr>
              <w:autoSpaceDE w:val="0"/>
              <w:autoSpaceDN w:val="0"/>
              <w:adjustRightInd w:val="0"/>
              <w:jc w:val="center"/>
              <w:rPr>
                <w:rFonts w:ascii="Arial" w:hAnsi="Arial" w:cs="Arial"/>
                <w:color w:val="000000"/>
                <w:sz w:val="20"/>
                <w:szCs w:val="20"/>
                <w:lang w:eastAsia="id-ID"/>
              </w:rPr>
            </w:pPr>
            <w:r w:rsidRPr="00311CEC">
              <w:rPr>
                <w:rFonts w:ascii="Arial" w:hAnsi="Arial" w:cs="Arial"/>
                <w:color w:val="000000"/>
                <w:sz w:val="20"/>
                <w:szCs w:val="20"/>
                <w:lang w:eastAsia="id-ID"/>
              </w:rPr>
              <w:t>C</w:t>
            </w:r>
          </w:p>
        </w:tc>
        <w:tc>
          <w:tcPr>
            <w:tcW w:w="1524" w:type="dxa"/>
            <w:tcBorders>
              <w:left w:val="nil"/>
              <w:bottom w:val="nil"/>
              <w:right w:val="nil"/>
            </w:tcBorders>
          </w:tcPr>
          <w:p w14:paraId="1BD3F765" w14:textId="77777777" w:rsidR="00630B20" w:rsidRPr="00311CEC" w:rsidRDefault="00630B20" w:rsidP="00311CEC">
            <w:pPr>
              <w:ind w:left="60" w:right="60"/>
              <w:jc w:val="right"/>
              <w:rPr>
                <w:rFonts w:ascii="Arial" w:hAnsi="Arial" w:cs="Arial"/>
                <w:sz w:val="20"/>
                <w:szCs w:val="20"/>
              </w:rPr>
            </w:pPr>
            <w:r w:rsidRPr="00311CEC">
              <w:rPr>
                <w:rFonts w:ascii="Arial" w:hAnsi="Arial" w:cs="Arial"/>
                <w:sz w:val="20"/>
                <w:szCs w:val="20"/>
              </w:rPr>
              <w:t>1,017</w:t>
            </w:r>
          </w:p>
        </w:tc>
      </w:tr>
      <w:tr w:rsidR="00630B20" w:rsidRPr="00311CEC" w14:paraId="397693A2" w14:textId="77777777" w:rsidTr="00630B20">
        <w:trPr>
          <w:jc w:val="center"/>
        </w:trPr>
        <w:tc>
          <w:tcPr>
            <w:tcW w:w="2943" w:type="dxa"/>
            <w:tcBorders>
              <w:top w:val="nil"/>
              <w:left w:val="nil"/>
              <w:right w:val="nil"/>
            </w:tcBorders>
          </w:tcPr>
          <w:p w14:paraId="38F4EB2D" w14:textId="77777777" w:rsidR="00630B20" w:rsidRPr="00311CEC" w:rsidRDefault="00630B20" w:rsidP="00311CEC">
            <w:pPr>
              <w:ind w:left="60" w:right="60"/>
              <w:rPr>
                <w:rFonts w:ascii="Arial" w:hAnsi="Arial" w:cs="Arial"/>
                <w:sz w:val="20"/>
                <w:szCs w:val="20"/>
              </w:rPr>
            </w:pPr>
            <w:r w:rsidRPr="00311CEC">
              <w:rPr>
                <w:rFonts w:ascii="Arial" w:hAnsi="Arial" w:cs="Arial"/>
                <w:sz w:val="20"/>
                <w:szCs w:val="20"/>
              </w:rPr>
              <w:t>Internal Audit</w:t>
            </w:r>
          </w:p>
        </w:tc>
        <w:tc>
          <w:tcPr>
            <w:tcW w:w="1524" w:type="dxa"/>
            <w:tcBorders>
              <w:top w:val="nil"/>
              <w:left w:val="nil"/>
              <w:right w:val="nil"/>
            </w:tcBorders>
          </w:tcPr>
          <w:p w14:paraId="26EEFD42" w14:textId="77777777" w:rsidR="00630B20" w:rsidRPr="00311CEC" w:rsidRDefault="00630B20" w:rsidP="00311CEC">
            <w:pPr>
              <w:ind w:left="60" w:right="60"/>
              <w:jc w:val="right"/>
              <w:rPr>
                <w:rFonts w:ascii="Arial" w:hAnsi="Arial" w:cs="Arial"/>
                <w:sz w:val="20"/>
                <w:szCs w:val="20"/>
              </w:rPr>
            </w:pPr>
            <w:r w:rsidRPr="00311CEC">
              <w:rPr>
                <w:rFonts w:ascii="Arial" w:hAnsi="Arial" w:cs="Arial"/>
                <w:sz w:val="20"/>
                <w:szCs w:val="20"/>
              </w:rPr>
              <w:t>0,533</w:t>
            </w:r>
          </w:p>
        </w:tc>
      </w:tr>
    </w:tbl>
    <w:p w14:paraId="150A92B5" w14:textId="47325C52" w:rsidR="00630B20" w:rsidRPr="00311CEC" w:rsidRDefault="00630B20" w:rsidP="00311CEC">
      <w:pPr>
        <w:tabs>
          <w:tab w:val="left" w:pos="709"/>
        </w:tabs>
        <w:jc w:val="center"/>
        <w:rPr>
          <w:rFonts w:ascii="Arial" w:hAnsi="Arial" w:cs="Arial"/>
          <w:sz w:val="20"/>
          <w:szCs w:val="20"/>
          <w:lang w:val="en-US"/>
        </w:rPr>
      </w:pPr>
      <w:r w:rsidRPr="00311CEC">
        <w:rPr>
          <w:rFonts w:ascii="Arial" w:hAnsi="Arial" w:cs="Arial"/>
          <w:sz w:val="20"/>
          <w:szCs w:val="20"/>
        </w:rPr>
        <w:t>Source: SPSS Output Results</w:t>
      </w:r>
      <w:r w:rsidRPr="00311CEC">
        <w:rPr>
          <w:rFonts w:ascii="Arial" w:hAnsi="Arial" w:cs="Arial"/>
          <w:sz w:val="20"/>
          <w:szCs w:val="20"/>
          <w:lang w:val="en-US"/>
        </w:rPr>
        <w:t xml:space="preserve"> </w:t>
      </w:r>
    </w:p>
    <w:p w14:paraId="51AAEFF6" w14:textId="77777777" w:rsidR="00630B20" w:rsidRPr="00311CEC" w:rsidRDefault="00630B20" w:rsidP="00311CEC">
      <w:pPr>
        <w:tabs>
          <w:tab w:val="left" w:pos="709"/>
        </w:tabs>
        <w:jc w:val="both"/>
        <w:rPr>
          <w:rFonts w:ascii="Arial" w:hAnsi="Arial" w:cs="Arial"/>
          <w:lang w:val="en-US"/>
        </w:rPr>
      </w:pPr>
    </w:p>
    <w:p w14:paraId="25C491C7" w14:textId="77777777" w:rsidR="00630B20" w:rsidRPr="00311CEC" w:rsidRDefault="00630B20" w:rsidP="00311CEC">
      <w:pPr>
        <w:ind w:firstLine="720"/>
        <w:jc w:val="center"/>
        <w:rPr>
          <w:rFonts w:ascii="Arial" w:hAnsi="Arial" w:cs="Arial"/>
        </w:rPr>
      </w:pPr>
      <w:r w:rsidRPr="00311CEC">
        <w:rPr>
          <w:rFonts w:ascii="Arial" w:hAnsi="Arial" w:cs="Arial"/>
        </w:rPr>
        <w:t>Based on table 3. above shows that the regression equation model formed is:</w:t>
      </w:r>
    </w:p>
    <w:p w14:paraId="011937DE" w14:textId="77777777" w:rsidR="00630B20" w:rsidRPr="00311CEC" w:rsidRDefault="00630B20" w:rsidP="00311CEC">
      <w:pPr>
        <w:jc w:val="center"/>
        <w:rPr>
          <w:rFonts w:ascii="Arial" w:hAnsi="Arial" w:cs="Arial"/>
          <w:b/>
          <w:vertAlign w:val="subscript"/>
        </w:rPr>
      </w:pPr>
      <w:r w:rsidRPr="00311CEC">
        <w:rPr>
          <w:rFonts w:ascii="Arial" w:hAnsi="Arial" w:cs="Arial"/>
          <w:b/>
        </w:rPr>
        <w:t>Y = 1,017 + 0,533 X</w:t>
      </w:r>
    </w:p>
    <w:p w14:paraId="0D1DB04C" w14:textId="08916FD3" w:rsidR="00630B20" w:rsidRPr="00311CEC" w:rsidRDefault="00630B20" w:rsidP="00311CEC">
      <w:pPr>
        <w:tabs>
          <w:tab w:val="left" w:pos="0"/>
        </w:tabs>
        <w:jc w:val="both"/>
        <w:rPr>
          <w:rFonts w:ascii="Arial" w:hAnsi="Arial" w:cs="Arial"/>
          <w:color w:val="000000"/>
        </w:rPr>
      </w:pPr>
      <w:r w:rsidRPr="00311CEC">
        <w:rPr>
          <w:rFonts w:ascii="Arial" w:hAnsi="Arial" w:cs="Arial"/>
          <w:color w:val="000000"/>
        </w:rPr>
        <w:tab/>
        <w:t>Based on the regression equation above, it shows that the internal audit variable has a positive influence on the fraud prevention variable.</w:t>
      </w:r>
    </w:p>
    <w:p w14:paraId="47010703" w14:textId="77777777" w:rsidR="00630B20" w:rsidRPr="00311CEC" w:rsidRDefault="00630B20" w:rsidP="00311CEC">
      <w:pPr>
        <w:tabs>
          <w:tab w:val="left" w:pos="0"/>
        </w:tabs>
        <w:jc w:val="both"/>
        <w:rPr>
          <w:rFonts w:ascii="Arial" w:hAnsi="Arial" w:cs="Arial"/>
          <w:color w:val="000000"/>
        </w:rPr>
      </w:pPr>
    </w:p>
    <w:p w14:paraId="0D76C8CC" w14:textId="77777777" w:rsidR="00630B20" w:rsidRPr="00311CEC" w:rsidRDefault="00630B20" w:rsidP="00311CEC">
      <w:pPr>
        <w:tabs>
          <w:tab w:val="left" w:pos="0"/>
        </w:tabs>
        <w:jc w:val="center"/>
        <w:rPr>
          <w:rFonts w:ascii="Arial" w:hAnsi="Arial" w:cs="Arial"/>
          <w:b/>
        </w:rPr>
      </w:pPr>
      <w:r w:rsidRPr="00311CEC">
        <w:rPr>
          <w:rFonts w:ascii="Arial" w:hAnsi="Arial" w:cs="Arial"/>
          <w:b/>
          <w:bCs/>
          <w:color w:val="000000"/>
        </w:rPr>
        <w:t>Table 4. Hypothesis Testing</w:t>
      </w:r>
    </w:p>
    <w:tbl>
      <w:tblPr>
        <w:tblW w:w="7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344"/>
        <w:gridCol w:w="1727"/>
        <w:gridCol w:w="1415"/>
      </w:tblGrid>
      <w:tr w:rsidR="00630B20" w:rsidRPr="00311CEC" w14:paraId="2C07D951" w14:textId="77777777" w:rsidTr="000E61B2">
        <w:trPr>
          <w:tblHeader/>
          <w:jc w:val="center"/>
        </w:trPr>
        <w:tc>
          <w:tcPr>
            <w:tcW w:w="2692" w:type="dxa"/>
            <w:tcBorders>
              <w:left w:val="nil"/>
              <w:right w:val="nil"/>
            </w:tcBorders>
            <w:vAlign w:val="center"/>
          </w:tcPr>
          <w:p w14:paraId="2101F142" w14:textId="77777777" w:rsidR="00630B20" w:rsidRPr="00311CEC" w:rsidRDefault="00630B20" w:rsidP="00311CEC">
            <w:pPr>
              <w:autoSpaceDE w:val="0"/>
              <w:autoSpaceDN w:val="0"/>
              <w:adjustRightInd w:val="0"/>
              <w:jc w:val="center"/>
              <w:rPr>
                <w:rFonts w:ascii="Arial" w:hAnsi="Arial" w:cs="Arial"/>
                <w:b/>
                <w:color w:val="000000"/>
                <w:sz w:val="20"/>
                <w:szCs w:val="20"/>
                <w:lang w:eastAsia="id-ID"/>
              </w:rPr>
            </w:pPr>
            <w:r w:rsidRPr="00311CEC">
              <w:rPr>
                <w:rFonts w:ascii="Arial" w:hAnsi="Arial" w:cs="Arial"/>
                <w:b/>
                <w:color w:val="000000"/>
                <w:sz w:val="20"/>
                <w:szCs w:val="20"/>
                <w:lang w:eastAsia="id-ID"/>
              </w:rPr>
              <w:t>Variable</w:t>
            </w:r>
          </w:p>
        </w:tc>
        <w:tc>
          <w:tcPr>
            <w:tcW w:w="1344" w:type="dxa"/>
            <w:tcBorders>
              <w:left w:val="nil"/>
              <w:right w:val="nil"/>
            </w:tcBorders>
            <w:vAlign w:val="center"/>
          </w:tcPr>
          <w:p w14:paraId="62913ED3" w14:textId="77777777" w:rsidR="00630B20" w:rsidRPr="00311CEC" w:rsidRDefault="00630B20" w:rsidP="00311CEC">
            <w:pPr>
              <w:tabs>
                <w:tab w:val="left" w:pos="0"/>
              </w:tabs>
              <w:jc w:val="center"/>
              <w:rPr>
                <w:rFonts w:ascii="Arial" w:hAnsi="Arial" w:cs="Arial"/>
                <w:b/>
                <w:color w:val="000000"/>
                <w:sz w:val="20"/>
                <w:szCs w:val="20"/>
              </w:rPr>
            </w:pPr>
            <w:r w:rsidRPr="00311CEC">
              <w:rPr>
                <w:rFonts w:ascii="Arial" w:hAnsi="Arial" w:cs="Arial"/>
                <w:b/>
                <w:color w:val="000000"/>
                <w:sz w:val="20"/>
                <w:szCs w:val="20"/>
                <w:lang w:eastAsia="id-ID"/>
              </w:rPr>
              <w:t>t-Value</w:t>
            </w:r>
          </w:p>
        </w:tc>
        <w:tc>
          <w:tcPr>
            <w:tcW w:w="1727" w:type="dxa"/>
            <w:tcBorders>
              <w:left w:val="nil"/>
              <w:right w:val="nil"/>
            </w:tcBorders>
            <w:vAlign w:val="center"/>
          </w:tcPr>
          <w:p w14:paraId="79241A49" w14:textId="77777777" w:rsidR="00630B20" w:rsidRPr="00311CEC" w:rsidRDefault="00630B20" w:rsidP="00311CEC">
            <w:pPr>
              <w:tabs>
                <w:tab w:val="left" w:pos="0"/>
              </w:tabs>
              <w:jc w:val="center"/>
              <w:rPr>
                <w:rFonts w:ascii="Arial" w:hAnsi="Arial" w:cs="Arial"/>
                <w:b/>
                <w:color w:val="000000"/>
                <w:sz w:val="20"/>
                <w:szCs w:val="20"/>
                <w:lang w:eastAsia="id-ID"/>
              </w:rPr>
            </w:pPr>
            <w:r w:rsidRPr="00311CEC">
              <w:rPr>
                <w:rFonts w:ascii="Arial" w:hAnsi="Arial" w:cs="Arial"/>
                <w:b/>
                <w:color w:val="000000"/>
                <w:sz w:val="20"/>
                <w:szCs w:val="20"/>
                <w:lang w:eastAsia="id-ID"/>
              </w:rPr>
              <w:t>P-Value</w:t>
            </w:r>
          </w:p>
        </w:tc>
        <w:tc>
          <w:tcPr>
            <w:tcW w:w="1415" w:type="dxa"/>
            <w:tcBorders>
              <w:left w:val="nil"/>
              <w:right w:val="nil"/>
            </w:tcBorders>
            <w:vAlign w:val="center"/>
          </w:tcPr>
          <w:p w14:paraId="79116976" w14:textId="77777777" w:rsidR="00630B20" w:rsidRPr="00311CEC" w:rsidRDefault="00630B20" w:rsidP="00311CEC">
            <w:pPr>
              <w:tabs>
                <w:tab w:val="left" w:pos="0"/>
              </w:tabs>
              <w:jc w:val="center"/>
              <w:rPr>
                <w:rFonts w:ascii="Arial" w:hAnsi="Arial" w:cs="Arial"/>
                <w:b/>
                <w:color w:val="000000"/>
                <w:sz w:val="20"/>
                <w:szCs w:val="20"/>
                <w:lang w:eastAsia="id-ID"/>
              </w:rPr>
            </w:pPr>
            <w:r w:rsidRPr="00311CEC">
              <w:rPr>
                <w:rFonts w:ascii="Arial" w:hAnsi="Arial" w:cs="Arial"/>
                <w:b/>
                <w:color w:val="000000"/>
                <w:sz w:val="20"/>
                <w:szCs w:val="20"/>
                <w:lang w:eastAsia="id-ID"/>
              </w:rPr>
              <w:t>Results</w:t>
            </w:r>
          </w:p>
        </w:tc>
      </w:tr>
      <w:tr w:rsidR="00630B20" w:rsidRPr="00311CEC" w14:paraId="692BA47D" w14:textId="77777777" w:rsidTr="000E61B2">
        <w:trPr>
          <w:jc w:val="center"/>
        </w:trPr>
        <w:tc>
          <w:tcPr>
            <w:tcW w:w="2692" w:type="dxa"/>
            <w:tcBorders>
              <w:left w:val="nil"/>
              <w:right w:val="nil"/>
            </w:tcBorders>
          </w:tcPr>
          <w:p w14:paraId="4428BF3C" w14:textId="77777777" w:rsidR="00630B20" w:rsidRPr="00311CEC" w:rsidRDefault="00630B20" w:rsidP="00311CEC">
            <w:pPr>
              <w:ind w:left="60" w:right="60"/>
              <w:rPr>
                <w:rFonts w:ascii="Arial" w:hAnsi="Arial" w:cs="Arial"/>
                <w:sz w:val="20"/>
                <w:szCs w:val="20"/>
              </w:rPr>
            </w:pPr>
            <w:r w:rsidRPr="00311CEC">
              <w:rPr>
                <w:rFonts w:ascii="Arial" w:hAnsi="Arial" w:cs="Arial"/>
                <w:sz w:val="20"/>
                <w:szCs w:val="20"/>
              </w:rPr>
              <w:t>Internal Audit</w:t>
            </w:r>
          </w:p>
        </w:tc>
        <w:tc>
          <w:tcPr>
            <w:tcW w:w="1344" w:type="dxa"/>
            <w:tcBorders>
              <w:left w:val="nil"/>
              <w:right w:val="nil"/>
            </w:tcBorders>
            <w:vAlign w:val="bottom"/>
          </w:tcPr>
          <w:p w14:paraId="6A3D2D39" w14:textId="77777777" w:rsidR="00630B20" w:rsidRPr="00311CEC" w:rsidRDefault="00630B20" w:rsidP="00311CEC">
            <w:pPr>
              <w:autoSpaceDE w:val="0"/>
              <w:autoSpaceDN w:val="0"/>
              <w:adjustRightInd w:val="0"/>
              <w:ind w:right="10"/>
              <w:jc w:val="center"/>
              <w:rPr>
                <w:rFonts w:ascii="Arial" w:hAnsi="Arial" w:cs="Arial"/>
                <w:color w:val="000000"/>
                <w:sz w:val="20"/>
                <w:szCs w:val="20"/>
                <w:lang w:eastAsia="id-ID"/>
              </w:rPr>
            </w:pPr>
            <w:r w:rsidRPr="00311CEC">
              <w:rPr>
                <w:rFonts w:ascii="Arial" w:hAnsi="Arial" w:cs="Arial"/>
                <w:sz w:val="20"/>
                <w:szCs w:val="20"/>
                <w:lang w:eastAsia="id-ID"/>
              </w:rPr>
              <w:t>3,839</w:t>
            </w:r>
            <w:r w:rsidRPr="00311CEC">
              <w:rPr>
                <w:rFonts w:ascii="Arial" w:hAnsi="Arial" w:cs="Arial"/>
                <w:sz w:val="20"/>
                <w:szCs w:val="20"/>
              </w:rPr>
              <w:t>&gt;</w:t>
            </w:r>
            <w:r w:rsidRPr="00311CEC">
              <w:rPr>
                <w:rFonts w:ascii="Arial" w:hAnsi="Arial" w:cs="Arial"/>
                <w:sz w:val="20"/>
                <w:szCs w:val="20"/>
                <w:lang w:eastAsia="id-ID"/>
              </w:rPr>
              <w:t>2,037</w:t>
            </w:r>
          </w:p>
        </w:tc>
        <w:tc>
          <w:tcPr>
            <w:tcW w:w="1727" w:type="dxa"/>
            <w:tcBorders>
              <w:left w:val="nil"/>
              <w:right w:val="nil"/>
            </w:tcBorders>
          </w:tcPr>
          <w:p w14:paraId="47FCC809" w14:textId="77777777" w:rsidR="00630B20" w:rsidRPr="00311CEC" w:rsidRDefault="00630B20" w:rsidP="00311CEC">
            <w:pPr>
              <w:autoSpaceDE w:val="0"/>
              <w:autoSpaceDN w:val="0"/>
              <w:adjustRightInd w:val="0"/>
              <w:ind w:right="10"/>
              <w:jc w:val="center"/>
              <w:rPr>
                <w:rFonts w:ascii="Arial" w:hAnsi="Arial" w:cs="Arial"/>
                <w:color w:val="000000"/>
                <w:sz w:val="20"/>
                <w:szCs w:val="20"/>
                <w:lang w:eastAsia="id-ID"/>
              </w:rPr>
            </w:pPr>
            <w:r w:rsidRPr="00311CEC">
              <w:rPr>
                <w:rFonts w:ascii="Arial" w:hAnsi="Arial" w:cs="Arial"/>
                <w:sz w:val="20"/>
                <w:szCs w:val="20"/>
                <w:lang w:eastAsia="id-ID"/>
              </w:rPr>
              <w:t>0,001</w:t>
            </w:r>
            <w:r w:rsidRPr="00311CEC">
              <w:rPr>
                <w:rFonts w:ascii="Arial" w:hAnsi="Arial" w:cs="Arial"/>
                <w:sz w:val="20"/>
                <w:szCs w:val="20"/>
              </w:rPr>
              <w:t>&lt;0,05</w:t>
            </w:r>
          </w:p>
        </w:tc>
        <w:tc>
          <w:tcPr>
            <w:tcW w:w="1415" w:type="dxa"/>
            <w:tcBorders>
              <w:left w:val="nil"/>
              <w:right w:val="nil"/>
            </w:tcBorders>
          </w:tcPr>
          <w:p w14:paraId="4792E36D" w14:textId="77777777" w:rsidR="00630B20" w:rsidRPr="00311CEC" w:rsidRDefault="00630B20" w:rsidP="00311CEC">
            <w:pPr>
              <w:autoSpaceDE w:val="0"/>
              <w:autoSpaceDN w:val="0"/>
              <w:adjustRightInd w:val="0"/>
              <w:ind w:right="10"/>
              <w:jc w:val="center"/>
              <w:rPr>
                <w:rFonts w:ascii="Arial" w:hAnsi="Arial" w:cs="Arial"/>
                <w:color w:val="000000"/>
                <w:sz w:val="20"/>
                <w:szCs w:val="20"/>
                <w:lang w:eastAsia="id-ID"/>
              </w:rPr>
            </w:pPr>
            <w:r w:rsidRPr="00311CEC">
              <w:rPr>
                <w:rFonts w:ascii="Arial" w:hAnsi="Arial" w:cs="Arial"/>
                <w:color w:val="000000"/>
                <w:sz w:val="20"/>
                <w:szCs w:val="20"/>
                <w:lang w:eastAsia="id-ID"/>
              </w:rPr>
              <w:t>H</w:t>
            </w:r>
            <w:r w:rsidRPr="00311CEC">
              <w:rPr>
                <w:rFonts w:ascii="Arial" w:hAnsi="Arial" w:cs="Arial"/>
                <w:color w:val="000000"/>
                <w:sz w:val="20"/>
                <w:szCs w:val="20"/>
                <w:vertAlign w:val="subscript"/>
                <w:lang w:eastAsia="id-ID"/>
              </w:rPr>
              <w:t>a</w:t>
            </w:r>
            <w:r w:rsidRPr="00311CEC">
              <w:rPr>
                <w:rFonts w:ascii="Arial" w:hAnsi="Arial" w:cs="Arial"/>
                <w:color w:val="000000"/>
                <w:sz w:val="20"/>
                <w:szCs w:val="20"/>
                <w:lang w:eastAsia="id-ID"/>
              </w:rPr>
              <w:t xml:space="preserve"> Accepted</w:t>
            </w:r>
          </w:p>
        </w:tc>
      </w:tr>
    </w:tbl>
    <w:p w14:paraId="4A522BB9" w14:textId="77E0DD29" w:rsidR="00630B20" w:rsidRPr="00311CEC" w:rsidRDefault="00630B20" w:rsidP="00311CEC">
      <w:pPr>
        <w:tabs>
          <w:tab w:val="left" w:pos="709"/>
        </w:tabs>
        <w:jc w:val="center"/>
        <w:rPr>
          <w:rFonts w:ascii="Arial" w:hAnsi="Arial" w:cs="Arial"/>
          <w:sz w:val="20"/>
          <w:szCs w:val="20"/>
          <w:lang w:val="en-US"/>
        </w:rPr>
      </w:pPr>
      <w:r w:rsidRPr="00311CEC">
        <w:rPr>
          <w:rFonts w:ascii="Arial" w:hAnsi="Arial" w:cs="Arial"/>
          <w:sz w:val="20"/>
          <w:szCs w:val="20"/>
        </w:rPr>
        <w:t>Source: SPSS Output Results</w:t>
      </w:r>
      <w:r w:rsidRPr="00311CEC">
        <w:rPr>
          <w:rFonts w:ascii="Arial" w:hAnsi="Arial" w:cs="Arial"/>
          <w:sz w:val="20"/>
          <w:szCs w:val="20"/>
          <w:lang w:val="en-US"/>
        </w:rPr>
        <w:t xml:space="preserve"> </w:t>
      </w:r>
    </w:p>
    <w:p w14:paraId="169ED685" w14:textId="41FC8BD3" w:rsidR="00630B20" w:rsidRPr="00311CEC" w:rsidRDefault="00311CEC" w:rsidP="00311CEC">
      <w:pPr>
        <w:tabs>
          <w:tab w:val="left" w:pos="709"/>
        </w:tabs>
        <w:jc w:val="both"/>
        <w:rPr>
          <w:rFonts w:ascii="Arial" w:hAnsi="Arial" w:cs="Arial"/>
        </w:rPr>
      </w:pPr>
      <w:r>
        <w:rPr>
          <w:rFonts w:ascii="Arial" w:hAnsi="Arial" w:cs="Arial"/>
          <w:lang w:val="en-US"/>
        </w:rPr>
        <w:lastRenderedPageBreak/>
        <w:tab/>
      </w:r>
      <w:r w:rsidR="00630B20" w:rsidRPr="00311CEC">
        <w:rPr>
          <w:rFonts w:ascii="Arial" w:hAnsi="Arial" w:cs="Arial"/>
        </w:rPr>
        <w:t>Based on table 4. above, it shows that the internal audit variable has an effect on the fraud prevention variable.</w:t>
      </w:r>
    </w:p>
    <w:p w14:paraId="6698608A" w14:textId="77777777" w:rsidR="00630B20" w:rsidRPr="00311CEC" w:rsidRDefault="00630B20" w:rsidP="00311CEC">
      <w:pPr>
        <w:tabs>
          <w:tab w:val="left" w:pos="709"/>
        </w:tabs>
        <w:jc w:val="both"/>
        <w:rPr>
          <w:rFonts w:ascii="Arial" w:hAnsi="Arial" w:cs="Arial"/>
        </w:rPr>
      </w:pPr>
    </w:p>
    <w:p w14:paraId="7EBC7F1F" w14:textId="77777777" w:rsidR="00630B20" w:rsidRPr="00311CEC" w:rsidRDefault="00630B20" w:rsidP="00311CEC">
      <w:pPr>
        <w:tabs>
          <w:tab w:val="left" w:pos="0"/>
        </w:tabs>
        <w:jc w:val="center"/>
        <w:rPr>
          <w:rFonts w:ascii="Arial" w:hAnsi="Arial" w:cs="Arial"/>
          <w:b/>
        </w:rPr>
      </w:pPr>
      <w:r w:rsidRPr="00311CEC">
        <w:rPr>
          <w:rFonts w:ascii="Arial" w:hAnsi="Arial" w:cs="Arial"/>
          <w:b/>
          <w:bCs/>
          <w:color w:val="000000"/>
        </w:rPr>
        <w:t>Table 5. Testing the Coefficient of Determination</w:t>
      </w:r>
    </w:p>
    <w:tbl>
      <w:tblPr>
        <w:tblW w:w="3686"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30"/>
        <w:gridCol w:w="766"/>
        <w:gridCol w:w="1490"/>
      </w:tblGrid>
      <w:tr w:rsidR="00630B20" w:rsidRPr="00311CEC" w14:paraId="2804BF0C" w14:textId="77777777" w:rsidTr="000E61B2">
        <w:trPr>
          <w:jc w:val="center"/>
        </w:trPr>
        <w:tc>
          <w:tcPr>
            <w:tcW w:w="1430" w:type="dxa"/>
            <w:tcBorders>
              <w:right w:val="nil"/>
            </w:tcBorders>
          </w:tcPr>
          <w:p w14:paraId="2065C52B"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Description</w:t>
            </w:r>
          </w:p>
        </w:tc>
        <w:tc>
          <w:tcPr>
            <w:tcW w:w="766" w:type="dxa"/>
            <w:tcBorders>
              <w:left w:val="nil"/>
              <w:right w:val="nil"/>
            </w:tcBorders>
          </w:tcPr>
          <w:p w14:paraId="7B49D4AA"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Value</w:t>
            </w:r>
          </w:p>
        </w:tc>
        <w:tc>
          <w:tcPr>
            <w:tcW w:w="1490" w:type="dxa"/>
            <w:tcBorders>
              <w:left w:val="nil"/>
            </w:tcBorders>
          </w:tcPr>
          <w:p w14:paraId="5A7079FD" w14:textId="77777777" w:rsidR="00630B20" w:rsidRPr="00311CEC" w:rsidRDefault="00630B20" w:rsidP="00311CEC">
            <w:pPr>
              <w:jc w:val="center"/>
              <w:rPr>
                <w:rFonts w:ascii="Arial" w:hAnsi="Arial" w:cs="Arial"/>
                <w:b/>
                <w:sz w:val="20"/>
                <w:szCs w:val="20"/>
              </w:rPr>
            </w:pPr>
            <w:r w:rsidRPr="00311CEC">
              <w:rPr>
                <w:rFonts w:ascii="Arial" w:hAnsi="Arial" w:cs="Arial"/>
                <w:b/>
                <w:sz w:val="20"/>
                <w:szCs w:val="20"/>
              </w:rPr>
              <w:t>Percentage</w:t>
            </w:r>
          </w:p>
        </w:tc>
      </w:tr>
      <w:tr w:rsidR="00630B20" w:rsidRPr="00311CEC" w14:paraId="574B0E71" w14:textId="77777777" w:rsidTr="000E61B2">
        <w:trPr>
          <w:jc w:val="center"/>
        </w:trPr>
        <w:tc>
          <w:tcPr>
            <w:tcW w:w="1430" w:type="dxa"/>
            <w:tcBorders>
              <w:right w:val="nil"/>
            </w:tcBorders>
            <w:vAlign w:val="bottom"/>
          </w:tcPr>
          <w:p w14:paraId="5921E48F" w14:textId="77777777" w:rsidR="00630B20" w:rsidRPr="00311CEC" w:rsidRDefault="00630B20" w:rsidP="00311CEC">
            <w:pPr>
              <w:autoSpaceDE w:val="0"/>
              <w:autoSpaceDN w:val="0"/>
              <w:adjustRightInd w:val="0"/>
              <w:jc w:val="center"/>
              <w:rPr>
                <w:rFonts w:ascii="Arial" w:hAnsi="Arial" w:cs="Arial"/>
                <w:color w:val="000000"/>
                <w:sz w:val="20"/>
                <w:szCs w:val="20"/>
                <w:lang w:eastAsia="id-ID"/>
              </w:rPr>
            </w:pPr>
            <w:r w:rsidRPr="00311CEC">
              <w:rPr>
                <w:rFonts w:ascii="Arial" w:hAnsi="Arial" w:cs="Arial"/>
                <w:color w:val="000000"/>
                <w:sz w:val="20"/>
                <w:szCs w:val="20"/>
                <w:lang w:eastAsia="id-ID"/>
              </w:rPr>
              <w:t>R-squared</w:t>
            </w:r>
          </w:p>
        </w:tc>
        <w:tc>
          <w:tcPr>
            <w:tcW w:w="766" w:type="dxa"/>
            <w:tcBorders>
              <w:left w:val="nil"/>
              <w:right w:val="nil"/>
            </w:tcBorders>
            <w:vAlign w:val="bottom"/>
          </w:tcPr>
          <w:p w14:paraId="044A1A72" w14:textId="77777777" w:rsidR="00630B20" w:rsidRPr="00311CEC" w:rsidRDefault="00630B20" w:rsidP="00311CEC">
            <w:pPr>
              <w:autoSpaceDE w:val="0"/>
              <w:autoSpaceDN w:val="0"/>
              <w:adjustRightInd w:val="0"/>
              <w:ind w:right="10"/>
              <w:jc w:val="center"/>
              <w:rPr>
                <w:rFonts w:ascii="Arial" w:hAnsi="Arial" w:cs="Arial"/>
                <w:color w:val="000000"/>
                <w:sz w:val="20"/>
                <w:szCs w:val="20"/>
                <w:lang w:eastAsia="id-ID"/>
              </w:rPr>
            </w:pPr>
            <w:r w:rsidRPr="00311CEC">
              <w:rPr>
                <w:rFonts w:ascii="Arial" w:hAnsi="Arial" w:cs="Arial"/>
                <w:sz w:val="20"/>
                <w:szCs w:val="20"/>
              </w:rPr>
              <w:t>0,315</w:t>
            </w:r>
          </w:p>
        </w:tc>
        <w:tc>
          <w:tcPr>
            <w:tcW w:w="1490" w:type="dxa"/>
            <w:tcBorders>
              <w:left w:val="nil"/>
            </w:tcBorders>
          </w:tcPr>
          <w:p w14:paraId="29E52862" w14:textId="77777777" w:rsidR="00630B20" w:rsidRPr="00311CEC" w:rsidRDefault="00630B20" w:rsidP="00311CEC">
            <w:pPr>
              <w:autoSpaceDE w:val="0"/>
              <w:autoSpaceDN w:val="0"/>
              <w:adjustRightInd w:val="0"/>
              <w:ind w:right="10"/>
              <w:jc w:val="center"/>
              <w:rPr>
                <w:rFonts w:ascii="Arial" w:hAnsi="Arial" w:cs="Arial"/>
                <w:color w:val="000000"/>
                <w:sz w:val="20"/>
                <w:szCs w:val="20"/>
                <w:lang w:eastAsia="id-ID"/>
              </w:rPr>
            </w:pPr>
            <w:r w:rsidRPr="00311CEC">
              <w:rPr>
                <w:rFonts w:ascii="Arial" w:hAnsi="Arial" w:cs="Arial"/>
                <w:sz w:val="20"/>
                <w:szCs w:val="20"/>
              </w:rPr>
              <w:t>31,5</w:t>
            </w:r>
            <w:r w:rsidRPr="00311CEC">
              <w:rPr>
                <w:rFonts w:ascii="Arial" w:hAnsi="Arial" w:cs="Arial"/>
                <w:color w:val="000000"/>
                <w:sz w:val="20"/>
                <w:szCs w:val="20"/>
                <w:lang w:eastAsia="id-ID"/>
              </w:rPr>
              <w:t>%</w:t>
            </w:r>
          </w:p>
        </w:tc>
      </w:tr>
    </w:tbl>
    <w:p w14:paraId="7575F2E5" w14:textId="784CB6BA" w:rsidR="00630B20" w:rsidRPr="00311CEC" w:rsidRDefault="00630B20" w:rsidP="00311CEC">
      <w:pPr>
        <w:jc w:val="center"/>
        <w:rPr>
          <w:rFonts w:ascii="Arial" w:hAnsi="Arial" w:cs="Arial"/>
          <w:sz w:val="20"/>
          <w:szCs w:val="20"/>
          <w:lang w:val="en-US"/>
        </w:rPr>
      </w:pPr>
      <w:r w:rsidRPr="00311CEC">
        <w:rPr>
          <w:rFonts w:ascii="Arial" w:hAnsi="Arial" w:cs="Arial"/>
          <w:sz w:val="20"/>
          <w:szCs w:val="20"/>
        </w:rPr>
        <w:t>Source: SPSS Output Results</w:t>
      </w:r>
    </w:p>
    <w:p w14:paraId="48F41FF8" w14:textId="77777777" w:rsidR="00630B20" w:rsidRPr="00311CEC" w:rsidRDefault="00630B20" w:rsidP="00311CEC">
      <w:pPr>
        <w:rPr>
          <w:rFonts w:ascii="Arial" w:hAnsi="Arial" w:cs="Arial"/>
          <w:b/>
          <w:color w:val="000000"/>
          <w:lang w:val="en-US" w:eastAsia="id-ID"/>
        </w:rPr>
      </w:pPr>
    </w:p>
    <w:p w14:paraId="587B52C5" w14:textId="77777777" w:rsidR="00630B20" w:rsidRDefault="00630B20" w:rsidP="00311CEC">
      <w:pPr>
        <w:jc w:val="both"/>
        <w:rPr>
          <w:rFonts w:ascii="Arial" w:hAnsi="Arial" w:cs="Arial"/>
        </w:rPr>
      </w:pPr>
      <w:r w:rsidRPr="00311CEC">
        <w:rPr>
          <w:rFonts w:ascii="Arial" w:hAnsi="Arial" w:cs="Arial"/>
        </w:rPr>
        <w:tab/>
        <w:t>Based on table 5. above, it shows that the magnitude of the influence of the internal audit variable on the fraud prevention variable is 31.5%.</w:t>
      </w:r>
    </w:p>
    <w:p w14:paraId="2D2BA5D3" w14:textId="77777777" w:rsidR="005C6268" w:rsidRPr="00311CEC" w:rsidRDefault="005C6268" w:rsidP="00311CEC">
      <w:pPr>
        <w:jc w:val="both"/>
        <w:rPr>
          <w:rFonts w:ascii="Arial" w:hAnsi="Arial" w:cs="Arial"/>
        </w:rPr>
      </w:pPr>
    </w:p>
    <w:p w14:paraId="0E233C11" w14:textId="77777777" w:rsidR="00630B20" w:rsidRPr="00311CEC" w:rsidRDefault="00630B20" w:rsidP="00311CEC">
      <w:pPr>
        <w:jc w:val="both"/>
        <w:rPr>
          <w:rFonts w:ascii="Arial" w:hAnsi="Arial" w:cs="Arial"/>
          <w:b/>
        </w:rPr>
      </w:pPr>
      <w:r w:rsidRPr="00311CEC">
        <w:rPr>
          <w:rFonts w:ascii="Arial" w:hAnsi="Arial" w:cs="Arial"/>
          <w:b/>
        </w:rPr>
        <w:t>The Influence of Internal Audit on Fraud Prevention</w:t>
      </w:r>
    </w:p>
    <w:p w14:paraId="78C40C3F" w14:textId="77777777" w:rsidR="00630B20" w:rsidRPr="00311CEC" w:rsidRDefault="00630B20" w:rsidP="00311CEC">
      <w:pPr>
        <w:pStyle w:val="Default"/>
        <w:ind w:firstLine="720"/>
        <w:jc w:val="both"/>
        <w:rPr>
          <w:rFonts w:ascii="Arial" w:hAnsi="Arial" w:cs="Arial"/>
          <w:color w:val="auto"/>
          <w:sz w:val="22"/>
          <w:szCs w:val="22"/>
        </w:rPr>
      </w:pPr>
      <w:r w:rsidRPr="00311CEC">
        <w:rPr>
          <w:rFonts w:ascii="Arial" w:hAnsi="Arial" w:cs="Arial"/>
          <w:color w:val="auto"/>
          <w:sz w:val="22"/>
          <w:szCs w:val="22"/>
        </w:rPr>
        <w:t xml:space="preserve">The results show that internal audit has an effect on fraud prevention. Internal audit is an independent assessment function established within an organization to examine and evaluate as a service to the organization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{"citationItems":[{"id":"ITEM-1","itemData":{"author":[{"dropping-particle":"","family":"(IIA)","given":"The Institute of Internal Auditors","non-dropping-particle":"","parse-names":false,"suffix":""}],"id":"ITEM-1","issued":{"date-parts":[["2017"]]},"publisher":"The Institute of Internal Auditors","publisher-place":"Jakarta","title":"Standar Internasional Praktik Profesional Audit Internal","type":"book"},"uris":["http://www.mendeley.com/documents/?uuid=5e08776f-01d4-4c16-9c5c-69d203a05d9c"]}],"mendeley":{"formattedCitation":"((IIA), 2017)","manualFormatting":"(IIA, 2017:2)","plainTextFormattedCitation":"((IIA), 2017)","previouslyFormattedCitation":"((IIA), 2017)"},"properties":{"noteIndex":0},"schema":"https://github.com/citation-style-language/schema/raw/master/csl-citation.json"}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(IIA, 2017:2)</w:t>
      </w:r>
      <w:r w:rsidRPr="00311CEC">
        <w:rPr>
          <w:rFonts w:ascii="Arial" w:hAnsi="Arial" w:cs="Arial"/>
          <w:color w:val="auto"/>
          <w:sz w:val="22"/>
          <w:szCs w:val="22"/>
        </w:rPr>
        <w:fldChar w:fldCharType="end"/>
      </w:r>
      <w:r w:rsidRPr="00311CEC">
        <w:rPr>
          <w:rFonts w:ascii="Arial" w:hAnsi="Arial" w:cs="Arial"/>
          <w:color w:val="auto"/>
          <w:sz w:val="22"/>
          <w:szCs w:val="22"/>
        </w:rPr>
        <w:t xml:space="preserve">. One way to prevent and minimize fraud is to improve the implementation of internal audits. Internal audit aims to help organizations implement effective controls by evaluating effectiveness and efficiency and encouraging continuous improvement </w:t>
      </w:r>
      <w:r w:rsidRPr="00311CEC">
        <w:rPr>
          <w:rFonts w:ascii="Arial" w:hAnsi="Arial" w:cs="Arial"/>
          <w:sz w:val="22"/>
          <w:szCs w:val="22"/>
        </w:rPr>
        <w:fldChar w:fldCharType="begin" w:fldLock="1"/>
      </w:r>
      <w:r w:rsidRPr="00311CEC">
        <w:rPr>
          <w:rFonts w:ascii="Arial" w:hAnsi="Arial" w:cs="Arial"/>
          <w:sz w:val="22"/>
          <w:szCs w:val="22"/>
        </w:rPr>
        <w:instrText>ADDIN CSL_CITATION {"citationItems":[{"id":"ITEM-1","itemData":{"author":[{"dropping-particle":"","family":"Sawyer","given":"Lawrence B","non-dropping-particle":"","parse-names":false,"suffix":""},{"dropping-particle":"","family":"A","given":"Dittenhofer Mortimer","non-dropping-particle":"","parse-names":false,"suffix":""},{"dropping-particle":"","family":"Scheiner James H","given":"","non-dropping-particle":"","parse-names":false,"suffix":""}],"edition":"Jilid 1, E","id":"ITEM-1","issued":{"date-parts":[["2012"]]},"publisher":"Salemba Empat","publisher-place":"Jakarta","title":"Internal Auditing","type":"book"},"uris":["http://www.mendeley.com/documents/?uuid=7940d1be-f400-49fe-b4e4-a20cb23eba0f"]}],"mendeley":{"formattedCitation":"(Sawyer et al., 2012)","manualFormatting":"(Sawyer et al., 2012:55)","plainTextFormattedCitation":"(Sawyer et al., 2012)","previouslyFormattedCitation":"(Sawyer et al., 2012)"},"properties":{"noteIndex":0},"schema":"https://github.com/citation-style-language/schema/raw/master/csl-citation.json"}</w:instrText>
      </w:r>
      <w:r w:rsidRPr="00311CEC">
        <w:rPr>
          <w:rFonts w:ascii="Arial" w:hAnsi="Arial" w:cs="Arial"/>
          <w:sz w:val="22"/>
          <w:szCs w:val="22"/>
        </w:rPr>
        <w:fldChar w:fldCharType="separate"/>
      </w:r>
      <w:r w:rsidRPr="00311CEC">
        <w:rPr>
          <w:rFonts w:ascii="Arial" w:hAnsi="Arial" w:cs="Arial"/>
          <w:noProof/>
          <w:sz w:val="22"/>
          <w:szCs w:val="22"/>
        </w:rPr>
        <w:t>(Sawyer et al., 2012:55)</w:t>
      </w:r>
      <w:r w:rsidRPr="00311CEC">
        <w:rPr>
          <w:rFonts w:ascii="Arial" w:hAnsi="Arial" w:cs="Arial"/>
          <w:sz w:val="22"/>
          <w:szCs w:val="22"/>
        </w:rPr>
        <w:fldChar w:fldCharType="end"/>
      </w:r>
      <w:r w:rsidRPr="00311CEC">
        <w:rPr>
          <w:rFonts w:ascii="Arial" w:hAnsi="Arial" w:cs="Arial"/>
          <w:color w:val="auto"/>
          <w:sz w:val="22"/>
          <w:szCs w:val="22"/>
        </w:rPr>
        <w:t xml:space="preserve">. Internal audit helps organizations achieve their goals by taking a systematic and disciplined approach to evaluate and improve the effectiveness of risk management, control, and governance processes. Internal audit helps organizations achieve their goals by taking a systematic and disciplined approach to evaluate and improve the effectiveness of risk management, control, and governance processes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{"citationItems":[{"id":"ITEM-1","itemData":{"author":[{"dropping-particle":"","family":"Reding","given":"K R","non-dropping-particle":"","parse-names":false,"suffix":""},{"dropping-particle":"","family":"Sobel","given":"Paul J","non-dropping-particle":"","parse-names":false,"suffix":""},{"dropping-particle":"","family":"Anderson","given":"Urton L","non-dropping-particle":"","parse-names":false,"suffix":""}],"edition":"Third Edit","id":"ITEM-1","issued":{"date-parts":[["2013"]]},"publisher":"The Institute of Internal Auditors ResearchFoundation (IIARF)","publisher-place":"Unites Stated Of America","title":"Internal Auditing: Assurance &amp; Advisory Services.","type":"book"},"uris":["http://www.mendeley.com/documents/?uuid=2bf47a1f-8d81-459f-8e09-e9aed573e6c5"]}],"mendeley":{"formattedCitation":"(Reding et al., 2013)","manualFormatting":"(Reding et al., 2013:2)","plainTextFormattedCitation":"(Reding et al., 2013)","previouslyFormattedCitation":"(Reding et al., 2013)"},"properties":{"noteIndex":0},"schema":"https://github.com/citation-style-language/schema/raw/master/csl-citation.json"}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(Reding et al., 2013:2)</w:t>
      </w:r>
      <w:r w:rsidRPr="00311CEC">
        <w:rPr>
          <w:rFonts w:ascii="Arial" w:hAnsi="Arial" w:cs="Arial"/>
          <w:color w:val="auto"/>
          <w:sz w:val="22"/>
          <w:szCs w:val="22"/>
        </w:rPr>
        <w:fldChar w:fldCharType="end"/>
      </w:r>
      <w:r w:rsidRPr="00311CEC">
        <w:rPr>
          <w:rFonts w:ascii="Arial" w:hAnsi="Arial" w:cs="Arial"/>
          <w:color w:val="auto"/>
          <w:sz w:val="22"/>
          <w:szCs w:val="22"/>
        </w:rPr>
        <w:t>.</w:t>
      </w:r>
    </w:p>
    <w:p w14:paraId="1416D64F" w14:textId="77777777" w:rsidR="00630B20" w:rsidRPr="00311CEC" w:rsidRDefault="00630B20" w:rsidP="00311CEC">
      <w:pPr>
        <w:pStyle w:val="Default"/>
        <w:ind w:firstLine="720"/>
        <w:jc w:val="both"/>
        <w:rPr>
          <w:rFonts w:ascii="Arial" w:hAnsi="Arial" w:cs="Arial"/>
          <w:color w:val="auto"/>
          <w:sz w:val="22"/>
          <w:szCs w:val="22"/>
        </w:rPr>
      </w:pPr>
      <w:r w:rsidRPr="00311CEC">
        <w:rPr>
          <w:rFonts w:ascii="Arial" w:hAnsi="Arial" w:cs="Arial"/>
          <w:color w:val="auto"/>
          <w:sz w:val="22"/>
          <w:szCs w:val="22"/>
        </w:rPr>
        <w:t xml:space="preserve">The risks faced by the company include integrity risk, namely the risk of fraud by management or company employees, illegal actions, or other irregularities that can reduce the company's good name/reputation in the business world, or can reduce the company's ability to maintain internal audit is an independent activity. , objective assurance, and consulting designed to add value and improve the organization's operations. This internal audit helps organizations achieve their goals by taking a systematic and disciplined approach to evaluate and improve the effectiveness of risk management, control, and governance processes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{"citationItems":[{"id":"ITEM-1","itemData":{"author":[{"dropping-particle":"","family":"Reding","given":"K R","non-dropping-particle":"","parse-names":false,"suffix":""},{"dropping-particle":"","family":"Sobel","given":"Paul J","non-dropping-particle":"","parse-names":false,"suffix":""},{"dropping-particle":"","family":"Anderson","given":"Urton L","non-dropping-particle":"","parse-names":false,"suffix":""}],"edition":"Third Edit","id":"ITEM-1","issued":{"date-parts":[["2013"]]},"publisher":"The Institute of Internal Auditors ResearchFoundation (IIARF)","publisher-place":"Unites Stated Of America","title":"Internal Auditing: Assurance &amp; Advisory Services.","type":"book"},"uris":["http://www.mendeley.com/documents/?uuid=2bf47a1f-8d81-459f-8e09-e9aed573e6c5"]}],"mendeley":{"formattedCitation":"(Reding et al., 2013)","manualFormatting":"(Reding et al., 2013:2)","plainTextFormattedCitation":"(Reding et al., 2013)","previouslyFormattedCitation":"(Reding et al., 2013)"},"properties":{"noteIndex":0},"schema":"https://github.com/citation-style-language/schema/raw/master/csl-citation.json"}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(Reding et al., 2013:2)</w:t>
      </w:r>
      <w:r w:rsidRPr="00311CEC">
        <w:rPr>
          <w:rFonts w:ascii="Arial" w:hAnsi="Arial" w:cs="Arial"/>
          <w:color w:val="auto"/>
          <w:sz w:val="22"/>
          <w:szCs w:val="22"/>
        </w:rPr>
        <w:fldChar w:fldCharType="end"/>
      </w:r>
      <w:r w:rsidRPr="00311CEC">
        <w:rPr>
          <w:rFonts w:ascii="Arial" w:hAnsi="Arial" w:cs="Arial"/>
          <w:color w:val="auto"/>
          <w:sz w:val="22"/>
          <w:szCs w:val="22"/>
        </w:rPr>
        <w:t xml:space="preserve">. The purpose of conducting an internal audit is to assist members of the organization so that they can carry out their responsibilities effectively. The objectives of internal auditing also include developing effective controls at a reasonable cost. The internal audit function is an independent assessment function within an organization to examine or study and assess company activities to provide suggestions to management so that their responsibilities can be carried out effectively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Tugiman","given":"Hiro","non-dropping-particle":"","parse-names":false,"suffix":""}],"id":"ITEM-1","issued":{"date-parts":[["2014"]]},"publisher":"Kanisius","publisher-place":"Yogyakarta","title":"Standar Profesional Audit Internal","type":"book"},"uris":["http://www.mendeley.com/documents/?uuid=f38bff60-cf87-4da0-969b-46b4eb6de0a4"]}],"mendeley":{"formattedCitation":"(Tugiman, 2014)","manualFormatting":"(Tugiman, 2014:11)","plainTextFormattedCitation":"(Tugiman, 2014)","previouslyFormattedCitation":"(Tugiman, 2014)"},"properties":{"noteIndex":0},"schema":"https://github.com/citation-style-language/schema/raw/master/csl-citation.json"}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(Tugiman, 2014:11)</w:t>
      </w:r>
      <w:r w:rsidRPr="00311CEC">
        <w:rPr>
          <w:rFonts w:ascii="Arial" w:hAnsi="Arial" w:cs="Arial"/>
          <w:color w:val="auto"/>
          <w:sz w:val="22"/>
          <w:szCs w:val="22"/>
        </w:rPr>
        <w:fldChar w:fldCharType="end"/>
      </w:r>
      <w:r w:rsidRPr="00311CEC">
        <w:rPr>
          <w:rFonts w:ascii="Arial" w:hAnsi="Arial" w:cs="Arial"/>
          <w:color w:val="auto"/>
          <w:sz w:val="22"/>
          <w:szCs w:val="22"/>
        </w:rPr>
        <w:t>.</w:t>
      </w:r>
    </w:p>
    <w:p w14:paraId="1B0591C6" w14:textId="108CFEFD" w:rsidR="00630B20" w:rsidRDefault="00630B20" w:rsidP="00311CEC">
      <w:pPr>
        <w:pStyle w:val="Default"/>
        <w:ind w:firstLine="720"/>
        <w:jc w:val="both"/>
        <w:rPr>
          <w:rFonts w:ascii="Arial" w:hAnsi="Arial" w:cs="Arial"/>
          <w:color w:val="auto"/>
          <w:sz w:val="22"/>
          <w:szCs w:val="22"/>
        </w:rPr>
      </w:pPr>
      <w:r w:rsidRPr="00311CEC">
        <w:rPr>
          <w:rFonts w:ascii="Arial" w:hAnsi="Arial" w:cs="Arial"/>
          <w:color w:val="auto"/>
          <w:sz w:val="22"/>
          <w:szCs w:val="22"/>
        </w:rPr>
        <w:t xml:space="preserve">Internal auditors are the most appropriate agents to realize internal control, risk management and good corporate governance which will certainly add value to resources and the company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{"citationItems":[{"id":"ITEM-1","itemData":{"author":[{"dropping-particle":"","family":"Kumaat","given":"Valery G","non-dropping-particle":"","parse-names":false,"suffix":""}],"id":"ITEM-1","issued":{"date-parts":[["2014"]]},"publisher":"Erlangga","publisher-place":"Jakarta","title":"Internal Audit","type":"book"},"uris":["http://www.mendeley.com/documents/?uuid=6c418db5-ade4-4926-a894-33817c99ac8e"]}],"mendeley":{"formattedCitation":"(Kumaat, 2014)","manualFormatting":"(Kumaat, 2014:35)","plainTextFormattedCitation":"(Kumaat, 2014)","previouslyFormattedCitation":"(Kumaat, 2014)"},"properties":{"noteIndex":0},"schema":"https://github.com/citation-style-language/schema/raw/master/csl-citation.json"}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(Kumaat, 2014:35)</w:t>
      </w:r>
      <w:r w:rsidRPr="00311CEC">
        <w:rPr>
          <w:rFonts w:ascii="Arial" w:hAnsi="Arial" w:cs="Arial"/>
          <w:color w:val="auto"/>
          <w:sz w:val="22"/>
          <w:szCs w:val="22"/>
        </w:rPr>
        <w:fldChar w:fldCharType="end"/>
      </w:r>
      <w:r w:rsidRPr="00311CEC">
        <w:rPr>
          <w:rFonts w:ascii="Arial" w:hAnsi="Arial" w:cs="Arial"/>
          <w:color w:val="auto"/>
          <w:sz w:val="22"/>
          <w:szCs w:val="22"/>
        </w:rPr>
        <w:t xml:space="preserve">. Internal auditors are responsible for helping prevent and minimizing fraud by testing the adequacy and effectiveness of the internal control system, by evaluating the extent to which potential risks are identified. The existence of these risks requires internal auditors to develop preventive actions that can minimize the occurrence of fraud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Amrizal","given":"","non-dropping-particle":"","parse-names":false,"suffix":""}],"id":"ITEM-1","issued":{"date-parts":[["2014"]]},"publisher":"BPK","publisher-place":"Jakarta","title":"Pencegahan Dan Pendeteksian Kecurangan Oleh Internal Auditor","type":"book"},"uris":["http://www.mendeley.com/documents/?uuid=275852e4-0f52-46d0-a7ff-a18c564ca56a"]}],"mendeley":{"formattedCitation":"(Amrizal, 2014)","manualFormatting":"(Amrizal, 2014:11)","plainTextFormattedCitation":"(Amrizal, 2014)","previouslyFormattedCitation":"(Amrizal, 2014)"},"properties":{"noteIndex":0},"schema":"https://github.com/citation-style-language/schema/raw/master/csl-citation.json"}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(Amrizal, 2014:11)</w:t>
      </w:r>
      <w:r w:rsidRPr="00311CEC">
        <w:rPr>
          <w:rFonts w:ascii="Arial" w:hAnsi="Arial" w:cs="Arial"/>
          <w:color w:val="auto"/>
          <w:sz w:val="22"/>
          <w:szCs w:val="22"/>
        </w:rPr>
        <w:fldChar w:fldCharType="end"/>
      </w:r>
      <w:r w:rsidRPr="00311CEC">
        <w:rPr>
          <w:rFonts w:ascii="Arial" w:hAnsi="Arial" w:cs="Arial"/>
          <w:color w:val="auto"/>
          <w:sz w:val="22"/>
          <w:szCs w:val="22"/>
        </w:rPr>
        <w:t xml:space="preserve">. The results of this study are supported by research conducted by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Festi","given":"Theresa","non-dropping-particle":"","parse-names":false,"suffix":""},{"dropping-particle":"","family":"Andreas","given":"","non-dropping-particle":"","parse-names":false,"suffix":""},{"dropping-particle":"","family":"Natariasari","given":"Riska","non-dropping-particle":"","parse-names":false,"suffix":""}],"container-title":"JOM FEKON","id":"ITEM-1","issue":"No. 2 Oktober 2014","issued":{"date-parts":[["2014"]]},"title":"Pengaruh Peran Audit Internal Terhadap Pencegahan Kecurangan","type":"article-journal","volume":"Vol.1"},"uris":["http://www.mendeley.com/documents/?uuid=19f5a364-74a4-4bd5-bcfa-9e37d2f13cbd"]}],"mendeley":{"formattedCitation":"(Festi et al., 2014)","manualFormatting":"Festi et al., (2014)","plainTextFormattedCitation":"(Festi et al., 2014)","previouslyFormattedCitation":"(Festi et al., 2014)"},"properties":{"noteIndex":0},"schema":"https://github.com/citation-style-language/schema/raw/master/csl-citation.json"}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Festi et al., (2014)</w:t>
      </w:r>
      <w:r w:rsidRPr="00311CEC">
        <w:rPr>
          <w:rFonts w:ascii="Arial" w:hAnsi="Arial" w:cs="Arial"/>
          <w:color w:val="auto"/>
          <w:sz w:val="22"/>
          <w:szCs w:val="22"/>
        </w:rPr>
        <w:fldChar w:fldCharType="end"/>
      </w:r>
      <w:r w:rsidRPr="00311CEC">
        <w:rPr>
          <w:rFonts w:ascii="Arial" w:hAnsi="Arial" w:cs="Arial"/>
          <w:color w:val="auto"/>
          <w:sz w:val="22"/>
          <w:szCs w:val="22"/>
        </w:rPr>
        <w:t xml:space="preserve">,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{"citationItems":[{"id":"ITEM-1","itemData":{"author":[{"dropping-particle":"","family":"Maliawan","given":"Ida Bagus Dwika","non-dropping-particle":"","parse-names":false,"suffix":""},{"dropping-particle":"","family":"Edy Sujana","given":"","non-dropping-particle":"","parse-names":false,"suffix":""},{"dropping-particle":"","family":"Diatmika","given":"I Putu Gede","non-dropping-particle":"","parse-names":false,"suffix":""}],"container-title":"e-Journal Akuntansi Universitas Pendidikan Ganesha","id":"ITEM-1","issue":"No 2, Tahun 2017","issued":{"date-parts":[["2017"]]},"title":"Pengaruh Audit Internal dan Efektivitas Pengendalian Interen Terhadap Pencegahan Kecurangan","type":"article-journal","volume":"Vol 8"},"uris":["http://www.mendeley.com/documents/?uuid=a2f63358-78aa-4005-bc87-52696ed7f08d"]}],"mendeley":{"formattedCitation":"(Maliawan et al., 2017)","manualFormatting":"Maliawan et al., (2017)","plainTextFormattedCitation":"(Maliawan et al., 2017)","previouslyFormattedCitation":"(Maliawan et al., 2017)"},"properties":{"noteIndex":0},"schema":"https://github.com/citation-style-language/schema/raw/master/csl-citation.json"}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Maliawan et al., (2017)</w:t>
      </w:r>
      <w:r w:rsidRPr="00311CEC">
        <w:rPr>
          <w:rFonts w:ascii="Arial" w:hAnsi="Arial" w:cs="Arial"/>
          <w:color w:val="auto"/>
          <w:sz w:val="22"/>
          <w:szCs w:val="22"/>
        </w:rPr>
        <w:fldChar w:fldCharType="end"/>
      </w:r>
      <w:r w:rsidRPr="00311CEC">
        <w:rPr>
          <w:rFonts w:ascii="Arial" w:hAnsi="Arial" w:cs="Arial"/>
          <w:color w:val="auto"/>
          <w:sz w:val="22"/>
          <w:szCs w:val="22"/>
        </w:rPr>
        <w:t xml:space="preserve">  , </w:t>
      </w:r>
      <w:r w:rsidRPr="00311CEC">
        <w:rPr>
          <w:rFonts w:ascii="Arial" w:hAnsi="Arial" w:cs="Arial"/>
          <w:color w:val="auto"/>
          <w:sz w:val="22"/>
          <w:szCs w:val="22"/>
        </w:rPr>
        <w:lastRenderedPageBreak/>
        <w:fldChar w:fldCharType="begin" w:fldLock="1"/>
      </w:r>
      <w:r w:rsidRPr="00311CEC">
        <w:rPr>
          <w:rFonts w:ascii="Arial" w:hAnsi="Arial" w:cs="Arial"/>
          <w:color w:val="auto"/>
          <w:sz w:val="22"/>
          <w:szCs w:val="22"/>
        </w:rPr>
        <w:instrText>ADDIN CSL_CITATION {"citationItems":[{"id":"ITEM-1","itemData":{"author":[{"dropping-particle":"","family":"Suginam","given":"","non-dropping-particle":"","parse-names":false,"suffix":""}],"container-title":"Riset &amp; Jurnal Akuntansi","id":"ITEM-1","issue":"Nomor 1, Februari 2017","issued":{"date-parts":[["2017"]]},"page":"-ISSN : 2548-9224, p-ISSN : 2548-7507","title":"Pengaruh Peran Audit Internal dan Pengendalian Intern Terhadap Pencegahan Fraud","type":"article-journal","volume":"Volume 1"},"uris":["http://www.mendeley.com/documents/?uuid=6034e1c1-8fa6-4457-bb0c-1f310cf78329"]}],"mendeley":{"formattedCitation":"(Suginam, 2017)","manualFormatting":"Suginam (2017)","plainTextFormattedCitation":"(Suginam, 2017)","previouslyFormattedCitation":"(Suginam, 2017)"},"properties":{"noteIndex":0},"schema":"https://github.com/citation-style-language/schema/raw/master/csl-citation.json"}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Suginam (2017)</w:t>
      </w:r>
      <w:r w:rsidRPr="00311CEC">
        <w:rPr>
          <w:rFonts w:ascii="Arial" w:hAnsi="Arial" w:cs="Arial"/>
          <w:color w:val="auto"/>
          <w:sz w:val="22"/>
          <w:szCs w:val="22"/>
        </w:rPr>
        <w:fldChar w:fldCharType="end"/>
      </w:r>
      <w:r w:rsidRPr="00311CEC">
        <w:rPr>
          <w:rFonts w:ascii="Arial" w:hAnsi="Arial" w:cs="Arial"/>
          <w:color w:val="auto"/>
          <w:sz w:val="22"/>
          <w:szCs w:val="22"/>
        </w:rPr>
        <w:t xml:space="preserve">,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{"citationItems":[{"id":"ITEM-1","itemData":{"author":[{"dropping-particle":"","family":"Srimulyani","given":"Ai Devi","non-dropping-particle":"","parse-names":false,"suffix":""},{"dropping-particle":"","family":"Ismatullah","given":"Ismet","non-dropping-particle":"","parse-names":false,"suffix":""}],"container-title":"Jurnal Ilmiah Ekonomi","id":"ITEM-1","issue":"Edisi 10, Mar 2017","issued":{"date-parts":[["2017"]]},"page":"ISSN 20886969","title":"Pengaruh Audit Internal Dalam Pencegahan Kecurangan Kas Pada PDAM Tirta Bumi Wibawa Kota Sukabumi","type":"article-journal","volume":"Vol. 5"},"uris":["http://www.mendeley.com/documents/?uuid=63c763ad-4423-467a-96dc-6cde07033534"]}],"mendeley":{"formattedCitation":"(Srimulyani &amp; Ismatullah, 2017)","manualFormatting":"Srimulyani &amp; Ismatullah (2017)","plainTextFormattedCitation":"(Srimulyani &amp; Ismatullah, 2017)","previouslyFormattedCitation":"(Srimulyani &amp; Ismatullah, 2017)"},"properties":{"noteIndex":0},"schema":"https://github.com/citation-style-language/schema/raw/master/csl-citation.json"}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Srimulyani &amp; Ismatullah (2017)</w:t>
      </w:r>
      <w:r w:rsidRPr="00311CEC">
        <w:rPr>
          <w:rFonts w:ascii="Arial" w:hAnsi="Arial" w:cs="Arial"/>
          <w:color w:val="auto"/>
          <w:sz w:val="22"/>
          <w:szCs w:val="22"/>
        </w:rPr>
        <w:fldChar w:fldCharType="end"/>
      </w:r>
      <w:r w:rsidRPr="00311CEC">
        <w:rPr>
          <w:rFonts w:ascii="Arial" w:hAnsi="Arial" w:cs="Arial"/>
          <w:color w:val="auto"/>
          <w:sz w:val="22"/>
          <w:szCs w:val="22"/>
        </w:rPr>
        <w:t xml:space="preserve">, </w:t>
      </w:r>
      <w:r w:rsidRPr="00311CEC">
        <w:rPr>
          <w:rFonts w:ascii="Arial" w:hAnsi="Arial" w:cs="Arial"/>
          <w:color w:val="auto"/>
          <w:sz w:val="22"/>
          <w:szCs w:val="22"/>
        </w:rPr>
        <w:fldChar w:fldCharType="begin" w:fldLock="1"/>
      </w:r>
      <w:r w:rsidRPr="00311CEC">
        <w:rPr>
          <w:rFonts w:ascii="Arial" w:hAnsi="Arial" w:cs="Arial"/>
          <w:color w:val="auto"/>
          <w:sz w:val="22"/>
          <w:szCs w:val="22"/>
        </w:rPr>
        <w:instrText>ADDIN CSL_CITATION {"citationItems":[{"id":"ITEM-1","itemData":{"author":[{"dropping-particle":"","family":"Marsandy","given":"Essa Dianca","non-dropping-particle":"","parse-names":false,"suffix":""},{"dropping-particle":"","family":"Rahmaita","given":"","non-dropping-particle":"","parse-names":false,"suffix":""}],"container-title":"Jurnal Ekonomi &amp; Bisnis Dharma Andalas","id":"ITEM-1","issue":"No 2, Juli 2018.","issued":{"date-parts":[["2018"]]},"page":"P- ISSN 1693-3273, E- ISSN 2527-3469.","title":"Pengaruh Peran Audit Internal Terhadap Pencegahan Fraud","type":"article-journal","volume":"Volume 20"},"uris":["http://www.mendeley.com/documents/?uuid=a971553b-2ddd-49dd-ac90-1c6b9b7faedb"]}],"mendeley":{"formattedCitation":"(Marsandy &amp; Rahmaita, 2018)","manualFormatting":"Marsandy &amp; Rahmaita  (2018)","plainTextFormattedCitation":"(Marsandy &amp; Rahmaita, 2018)","previouslyFormattedCitation":"(Marsandy &amp; Rahmaita, 2018)"},"properties":{"noteIndex":0},"schema":"https://github.com/citation-style-language/schema/raw/master/csl-citation.json"}</w:instrText>
      </w:r>
      <w:r w:rsidRPr="00311CEC">
        <w:rPr>
          <w:rFonts w:ascii="Arial" w:hAnsi="Arial" w:cs="Arial"/>
          <w:color w:val="auto"/>
          <w:sz w:val="22"/>
          <w:szCs w:val="22"/>
        </w:rPr>
        <w:fldChar w:fldCharType="separate"/>
      </w:r>
      <w:r w:rsidRPr="00311CEC">
        <w:rPr>
          <w:rFonts w:ascii="Arial" w:hAnsi="Arial" w:cs="Arial"/>
          <w:noProof/>
          <w:color w:val="auto"/>
          <w:sz w:val="22"/>
          <w:szCs w:val="22"/>
        </w:rPr>
        <w:t>Marsandy &amp; Rahmaita  (2018)</w:t>
      </w:r>
      <w:r w:rsidRPr="00311CEC">
        <w:rPr>
          <w:rFonts w:ascii="Arial" w:hAnsi="Arial" w:cs="Arial"/>
          <w:color w:val="auto"/>
          <w:sz w:val="22"/>
          <w:szCs w:val="22"/>
        </w:rPr>
        <w:fldChar w:fldCharType="end"/>
      </w:r>
      <w:r w:rsidRPr="00311CEC">
        <w:rPr>
          <w:rFonts w:ascii="Arial" w:hAnsi="Arial" w:cs="Arial"/>
          <w:color w:val="auto"/>
          <w:sz w:val="22"/>
          <w:szCs w:val="22"/>
        </w:rPr>
        <w:t>. The results show that internal audit has an effect on fraud prevention.</w:t>
      </w:r>
    </w:p>
    <w:p w14:paraId="5EED9B4A" w14:textId="77777777" w:rsidR="005C6268" w:rsidRPr="00311CEC" w:rsidRDefault="005C6268" w:rsidP="00311CEC">
      <w:pPr>
        <w:pStyle w:val="Default"/>
        <w:ind w:firstLine="720"/>
        <w:jc w:val="both"/>
        <w:rPr>
          <w:rFonts w:ascii="Arial" w:hAnsi="Arial" w:cs="Arial"/>
          <w:color w:val="auto"/>
          <w:sz w:val="22"/>
          <w:szCs w:val="22"/>
        </w:rPr>
      </w:pPr>
    </w:p>
    <w:p w14:paraId="3FB61A44" w14:textId="77777777" w:rsidR="00630B20" w:rsidRPr="00311CEC" w:rsidRDefault="00630B20" w:rsidP="00311CEC">
      <w:pPr>
        <w:jc w:val="center"/>
        <w:rPr>
          <w:rFonts w:ascii="Arial" w:hAnsi="Arial" w:cs="Arial"/>
          <w:b/>
          <w:bCs/>
        </w:rPr>
      </w:pPr>
      <w:r w:rsidRPr="00311CEC">
        <w:rPr>
          <w:rFonts w:ascii="Arial" w:hAnsi="Arial" w:cs="Arial"/>
          <w:b/>
          <w:bCs/>
        </w:rPr>
        <w:t>CONCLUSIONS</w:t>
      </w:r>
    </w:p>
    <w:p w14:paraId="481A8B87" w14:textId="77777777" w:rsidR="00630B20" w:rsidRPr="00311CEC" w:rsidRDefault="00630B20" w:rsidP="00311CEC">
      <w:pPr>
        <w:jc w:val="both"/>
        <w:rPr>
          <w:rFonts w:ascii="Arial" w:hAnsi="Arial" w:cs="Arial"/>
        </w:rPr>
      </w:pPr>
      <w:r w:rsidRPr="00311CEC">
        <w:rPr>
          <w:rFonts w:ascii="Arial" w:hAnsi="Arial" w:cs="Arial"/>
        </w:rPr>
        <w:tab/>
        <w:t>Based on the results of the study, it can be concluded that the implementation of internal audit and fraud prevention at Perum Bulog Bandung City has been running quite well. In addition, the results of the study show that internal audit has an effect on fraud prevention.</w:t>
      </w:r>
    </w:p>
    <w:p w14:paraId="3D67984E" w14:textId="77777777" w:rsidR="00630B20" w:rsidRPr="00311CEC" w:rsidRDefault="00630B20" w:rsidP="00311CEC">
      <w:pPr>
        <w:jc w:val="both"/>
        <w:rPr>
          <w:rFonts w:ascii="Arial" w:hAnsi="Arial" w:cs="Arial"/>
        </w:rPr>
      </w:pPr>
    </w:p>
    <w:p w14:paraId="4A4AAF25" w14:textId="77777777" w:rsidR="00630B20" w:rsidRPr="00311CEC" w:rsidRDefault="00630B20" w:rsidP="00311CEC">
      <w:pPr>
        <w:pStyle w:val="ListParagraph"/>
        <w:spacing w:line="240" w:lineRule="auto"/>
        <w:ind w:left="0" w:firstLine="0"/>
        <w:jc w:val="center"/>
        <w:rPr>
          <w:rFonts w:ascii="Arial" w:hAnsi="Arial" w:cs="Arial"/>
          <w:b/>
          <w:bCs/>
          <w:lang w:val="id-ID"/>
        </w:rPr>
      </w:pPr>
      <w:r w:rsidRPr="00311CEC">
        <w:rPr>
          <w:rFonts w:ascii="Arial" w:hAnsi="Arial" w:cs="Arial"/>
          <w:b/>
          <w:bCs/>
        </w:rPr>
        <w:t>REFERENCES</w:t>
      </w:r>
    </w:p>
    <w:p w14:paraId="2E2DEADF"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b/>
        </w:rPr>
        <w:fldChar w:fldCharType="begin" w:fldLock="1"/>
      </w:r>
      <w:r w:rsidRPr="00311CEC">
        <w:rPr>
          <w:rFonts w:ascii="Arial" w:hAnsi="Arial" w:cs="Arial"/>
          <w:b/>
        </w:rPr>
        <w:instrText xml:space="preserve">ADDIN Mendeley Bibliography CSL_BIBLIOGRAPHY </w:instrText>
      </w:r>
      <w:r w:rsidRPr="00311CEC">
        <w:rPr>
          <w:rFonts w:ascii="Arial" w:hAnsi="Arial" w:cs="Arial"/>
          <w:b/>
        </w:rPr>
        <w:fldChar w:fldCharType="separate"/>
      </w:r>
      <w:r w:rsidRPr="00311CEC">
        <w:rPr>
          <w:rFonts w:ascii="Arial" w:hAnsi="Arial" w:cs="Arial"/>
          <w:noProof/>
        </w:rPr>
        <w:t xml:space="preserve">Amrizal. (2014). </w:t>
      </w:r>
      <w:r w:rsidRPr="00311CEC">
        <w:rPr>
          <w:rFonts w:ascii="Arial" w:hAnsi="Arial" w:cs="Arial"/>
          <w:i/>
          <w:iCs/>
          <w:noProof/>
        </w:rPr>
        <w:t>Pencegahan Dan Pendeteksian Kecurangan Oleh Internal Auditor</w:t>
      </w:r>
      <w:r w:rsidRPr="00311CEC">
        <w:rPr>
          <w:rFonts w:ascii="Arial" w:hAnsi="Arial" w:cs="Arial"/>
          <w:noProof/>
        </w:rPr>
        <w:t xml:space="preserve">. </w:t>
      </w:r>
      <w:r w:rsidRPr="00311CEC">
        <w:rPr>
          <w:rFonts w:ascii="Arial" w:hAnsi="Arial" w:cs="Arial"/>
          <w:color w:val="000000"/>
        </w:rPr>
        <w:t xml:space="preserve">Jakarta : </w:t>
      </w:r>
      <w:r w:rsidRPr="00311CEC">
        <w:rPr>
          <w:rFonts w:ascii="Arial" w:hAnsi="Arial" w:cs="Arial"/>
          <w:noProof/>
        </w:rPr>
        <w:t>BPK.</w:t>
      </w:r>
    </w:p>
    <w:p w14:paraId="32982AFB"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Arens, A. A., Elder, R. J., &amp; Beasley, M. S. (2014). </w:t>
      </w:r>
      <w:r w:rsidRPr="00311CEC">
        <w:rPr>
          <w:rFonts w:ascii="Arial" w:hAnsi="Arial" w:cs="Arial"/>
          <w:i/>
          <w:iCs/>
          <w:noProof/>
        </w:rPr>
        <w:t>Auditing dan Jasa Assurance (terjemahan)</w:t>
      </w:r>
      <w:r w:rsidRPr="00311CEC">
        <w:rPr>
          <w:rFonts w:ascii="Arial" w:hAnsi="Arial" w:cs="Arial"/>
          <w:noProof/>
        </w:rPr>
        <w:t xml:space="preserve"> (Edisi 15). </w:t>
      </w:r>
      <w:r w:rsidRPr="00311CEC">
        <w:rPr>
          <w:rFonts w:ascii="Arial" w:hAnsi="Arial" w:cs="Arial"/>
          <w:color w:val="000000"/>
        </w:rPr>
        <w:t xml:space="preserve">Jakarta : </w:t>
      </w:r>
      <w:r w:rsidRPr="00311CEC">
        <w:rPr>
          <w:rFonts w:ascii="Arial" w:hAnsi="Arial" w:cs="Arial"/>
          <w:noProof/>
        </w:rPr>
        <w:t>Erlangga.</w:t>
      </w:r>
    </w:p>
    <w:p w14:paraId="12B59AFB"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Style w:val="Emphasis"/>
          <w:rFonts w:ascii="Arial" w:hAnsi="Arial" w:cs="Arial"/>
          <w:i w:val="0"/>
          <w:color w:val="000000"/>
          <w:shd w:val="clear" w:color="auto" w:fill="FFFFFF"/>
        </w:rPr>
        <w:t>Association of Certified Fraud Examiners</w:t>
      </w:r>
      <w:r w:rsidRPr="00311CEC">
        <w:rPr>
          <w:rFonts w:ascii="Arial" w:hAnsi="Arial" w:cs="Arial"/>
          <w:color w:val="000000"/>
          <w:shd w:val="clear" w:color="auto" w:fill="FFFFFF"/>
        </w:rPr>
        <w:t xml:space="preserve"> (</w:t>
      </w:r>
      <w:r w:rsidRPr="00311CEC">
        <w:rPr>
          <w:rFonts w:ascii="Arial" w:hAnsi="Arial" w:cs="Arial"/>
          <w:noProof/>
        </w:rPr>
        <w:t xml:space="preserve">ACFE). (2017). </w:t>
      </w:r>
      <w:r w:rsidRPr="00311CEC">
        <w:rPr>
          <w:rFonts w:ascii="Arial" w:hAnsi="Arial" w:cs="Arial"/>
          <w:i/>
          <w:iCs/>
          <w:noProof/>
        </w:rPr>
        <w:t>Survey Fraud Indonesia 2017</w:t>
      </w:r>
      <w:r w:rsidRPr="00311CEC">
        <w:rPr>
          <w:rFonts w:ascii="Arial" w:hAnsi="Arial" w:cs="Arial"/>
          <w:noProof/>
        </w:rPr>
        <w:t xml:space="preserve">. </w:t>
      </w:r>
      <w:r w:rsidRPr="00311CEC">
        <w:rPr>
          <w:rFonts w:ascii="Arial" w:hAnsi="Arial" w:cs="Arial"/>
          <w:color w:val="000000"/>
          <w:shd w:val="clear" w:color="auto" w:fill="FFFFFF"/>
        </w:rPr>
        <w:t xml:space="preserve">Jakarta : </w:t>
      </w:r>
      <w:r w:rsidRPr="00311CEC">
        <w:rPr>
          <w:rFonts w:ascii="Arial" w:hAnsi="Arial" w:cs="Arial"/>
          <w:noProof/>
        </w:rPr>
        <w:t>ACFE Indonesian Chapter.</w:t>
      </w:r>
    </w:p>
    <w:p w14:paraId="5C0740B6"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Ayuningtyas, R. (2016). </w:t>
      </w:r>
      <w:r w:rsidRPr="00311CEC">
        <w:rPr>
          <w:rFonts w:ascii="Arial" w:hAnsi="Arial" w:cs="Arial"/>
          <w:i/>
          <w:iCs/>
          <w:noProof/>
        </w:rPr>
        <w:t>DPR Desak Bulog Evaluasi Pendistribusian Raskin</w:t>
      </w:r>
      <w:r w:rsidRPr="00311CEC">
        <w:rPr>
          <w:rFonts w:ascii="Arial" w:hAnsi="Arial" w:cs="Arial"/>
          <w:noProof/>
        </w:rPr>
        <w:t xml:space="preserve">. </w:t>
      </w:r>
      <w:r w:rsidRPr="00311CEC">
        <w:rPr>
          <w:rFonts w:ascii="Arial" w:hAnsi="Arial" w:cs="Arial"/>
          <w:bCs/>
          <w:i/>
          <w:color w:val="000000"/>
          <w:shd w:val="clear" w:color="auto" w:fill="FFFFFF"/>
        </w:rPr>
        <w:t>Dikutip dari</w:t>
      </w:r>
      <w:r w:rsidRPr="00311CEC">
        <w:rPr>
          <w:rFonts w:ascii="Arial" w:hAnsi="Arial" w:cs="Arial"/>
          <w:noProof/>
        </w:rPr>
        <w:t xml:space="preserve"> http://news.liputan6.com/read/2653977/dpr-desak-bulog-evaluasi-pendistribusian-raskin.</w:t>
      </w:r>
    </w:p>
    <w:p w14:paraId="1D4A626E"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Festi, T., Andreas, &amp; Natariasari, R. (2014). Pengaruh Peran Audit Internal Terhadap Pencegahan Kecurangan. </w:t>
      </w:r>
      <w:r w:rsidRPr="00311CEC">
        <w:rPr>
          <w:rFonts w:ascii="Arial" w:hAnsi="Arial" w:cs="Arial"/>
          <w:i/>
          <w:iCs/>
          <w:noProof/>
        </w:rPr>
        <w:t>JOM FEKON</w:t>
      </w:r>
      <w:r w:rsidRPr="00311CEC">
        <w:rPr>
          <w:rFonts w:ascii="Arial" w:hAnsi="Arial" w:cs="Arial"/>
          <w:noProof/>
        </w:rPr>
        <w:t xml:space="preserve">, </w:t>
      </w:r>
      <w:r w:rsidRPr="00311CEC">
        <w:rPr>
          <w:rFonts w:ascii="Arial" w:hAnsi="Arial" w:cs="Arial"/>
          <w:i/>
          <w:iCs/>
          <w:noProof/>
        </w:rPr>
        <w:t>Vol.1</w:t>
      </w:r>
      <w:r w:rsidRPr="00311CEC">
        <w:rPr>
          <w:rFonts w:ascii="Arial" w:hAnsi="Arial" w:cs="Arial"/>
          <w:noProof/>
        </w:rPr>
        <w:t xml:space="preserve"> (No. 2 Oktober 2014). Universitas Riau.</w:t>
      </w:r>
    </w:p>
    <w:p w14:paraId="49AEE768"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Karyono. (2014). </w:t>
      </w:r>
      <w:r w:rsidRPr="00311CEC">
        <w:rPr>
          <w:rFonts w:ascii="Arial" w:hAnsi="Arial" w:cs="Arial"/>
          <w:i/>
          <w:iCs/>
          <w:noProof/>
        </w:rPr>
        <w:t>Forensic Fraud</w:t>
      </w:r>
      <w:r w:rsidRPr="00311CEC">
        <w:rPr>
          <w:rFonts w:ascii="Arial" w:hAnsi="Arial" w:cs="Arial"/>
          <w:noProof/>
        </w:rPr>
        <w:t xml:space="preserve">. </w:t>
      </w:r>
      <w:r w:rsidRPr="00311CEC">
        <w:rPr>
          <w:rFonts w:ascii="Arial" w:hAnsi="Arial" w:cs="Arial"/>
          <w:color w:val="000000"/>
        </w:rPr>
        <w:t xml:space="preserve">Yogyakarta : </w:t>
      </w:r>
      <w:r w:rsidRPr="00311CEC">
        <w:rPr>
          <w:rFonts w:ascii="Arial" w:hAnsi="Arial" w:cs="Arial"/>
          <w:noProof/>
        </w:rPr>
        <w:t>CV. Andi.</w:t>
      </w:r>
    </w:p>
    <w:p w14:paraId="55F06BA1"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Kumaat, V. G. (2014). </w:t>
      </w:r>
      <w:r w:rsidRPr="00311CEC">
        <w:rPr>
          <w:rFonts w:ascii="Arial" w:hAnsi="Arial" w:cs="Arial"/>
          <w:i/>
          <w:iCs/>
          <w:noProof/>
        </w:rPr>
        <w:t>Internal Audit</w:t>
      </w:r>
      <w:r w:rsidRPr="00311CEC">
        <w:rPr>
          <w:rFonts w:ascii="Arial" w:hAnsi="Arial" w:cs="Arial"/>
          <w:noProof/>
        </w:rPr>
        <w:t xml:space="preserve">. </w:t>
      </w:r>
      <w:r w:rsidRPr="00311CEC">
        <w:rPr>
          <w:rFonts w:ascii="Arial" w:hAnsi="Arial" w:cs="Arial"/>
          <w:color w:val="000000"/>
        </w:rPr>
        <w:t xml:space="preserve">Jakarta : </w:t>
      </w:r>
      <w:r w:rsidRPr="00311CEC">
        <w:rPr>
          <w:rFonts w:ascii="Arial" w:hAnsi="Arial" w:cs="Arial"/>
          <w:noProof/>
        </w:rPr>
        <w:t>Erlangga.</w:t>
      </w:r>
    </w:p>
    <w:p w14:paraId="035DDA15"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Maliawan, I. B. D., Edy Sujana, &amp; Diatmika, I. P. G. (2017). Pengaruh Audit Internal dan Efektivitas Pengendalian Interen Terhadap Pencegahan Kecurangan. </w:t>
      </w:r>
      <w:r w:rsidRPr="00311CEC">
        <w:rPr>
          <w:rFonts w:ascii="Arial" w:hAnsi="Arial" w:cs="Arial"/>
          <w:i/>
          <w:iCs/>
          <w:noProof/>
        </w:rPr>
        <w:t>E-Journal Akuntansi Universitas Pendidikan Ganesha</w:t>
      </w:r>
      <w:r w:rsidRPr="00311CEC">
        <w:rPr>
          <w:rFonts w:ascii="Arial" w:hAnsi="Arial" w:cs="Arial"/>
          <w:noProof/>
        </w:rPr>
        <w:t xml:space="preserve">, </w:t>
      </w:r>
      <w:r w:rsidRPr="00311CEC">
        <w:rPr>
          <w:rFonts w:ascii="Arial" w:hAnsi="Arial" w:cs="Arial"/>
          <w:i/>
          <w:iCs/>
          <w:noProof/>
        </w:rPr>
        <w:t xml:space="preserve">Vol 8 </w:t>
      </w:r>
      <w:r w:rsidRPr="00311CEC">
        <w:rPr>
          <w:rFonts w:ascii="Arial" w:hAnsi="Arial" w:cs="Arial"/>
          <w:noProof/>
        </w:rPr>
        <w:t>(No 2, Tahun 2017). Universitas Pendidikan Ganesha.</w:t>
      </w:r>
    </w:p>
    <w:p w14:paraId="4283FBE5"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Marsandy, E. D., &amp; Rahmaita. (2018). Pengaruh Peran Audit Internal Terhadap Pencegahan Fraud. </w:t>
      </w:r>
      <w:r w:rsidRPr="00311CEC">
        <w:rPr>
          <w:rFonts w:ascii="Arial" w:hAnsi="Arial" w:cs="Arial"/>
          <w:i/>
          <w:iCs/>
          <w:noProof/>
        </w:rPr>
        <w:t>Jurnal Ekonomi &amp; Bisnis Dharma Andalas</w:t>
      </w:r>
      <w:r w:rsidRPr="00311CEC">
        <w:rPr>
          <w:rFonts w:ascii="Arial" w:hAnsi="Arial" w:cs="Arial"/>
          <w:noProof/>
        </w:rPr>
        <w:t xml:space="preserve">, </w:t>
      </w:r>
      <w:r w:rsidRPr="00311CEC">
        <w:rPr>
          <w:rFonts w:ascii="Arial" w:hAnsi="Arial" w:cs="Arial"/>
          <w:i/>
          <w:iCs/>
          <w:noProof/>
        </w:rPr>
        <w:t xml:space="preserve">Volume 20 </w:t>
      </w:r>
      <w:r w:rsidRPr="00311CEC">
        <w:rPr>
          <w:rFonts w:ascii="Arial" w:hAnsi="Arial" w:cs="Arial"/>
          <w:noProof/>
        </w:rPr>
        <w:t>(No 2, Juli 2018.), P-ISSN 1693-3273, E-ISSN 2527-3469. Universitas Dharma Andalas.</w:t>
      </w:r>
    </w:p>
    <w:p w14:paraId="5C6356BB"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Priantara, D. (2014). </w:t>
      </w:r>
      <w:r w:rsidRPr="00311CEC">
        <w:rPr>
          <w:rFonts w:ascii="Arial" w:hAnsi="Arial" w:cs="Arial"/>
          <w:i/>
          <w:iCs/>
          <w:noProof/>
        </w:rPr>
        <w:t>Fraud Auditing &amp; Investigation</w:t>
      </w:r>
      <w:r w:rsidRPr="00311CEC">
        <w:rPr>
          <w:rFonts w:ascii="Arial" w:hAnsi="Arial" w:cs="Arial"/>
          <w:noProof/>
        </w:rPr>
        <w:t xml:space="preserve">. </w:t>
      </w:r>
      <w:r w:rsidRPr="00311CEC">
        <w:rPr>
          <w:rFonts w:ascii="Arial" w:hAnsi="Arial" w:cs="Arial"/>
          <w:bCs/>
          <w:iCs/>
          <w:color w:val="000000"/>
        </w:rPr>
        <w:t xml:space="preserve">Jakarta : </w:t>
      </w:r>
      <w:r w:rsidRPr="00311CEC">
        <w:rPr>
          <w:rFonts w:ascii="Arial" w:hAnsi="Arial" w:cs="Arial"/>
          <w:noProof/>
        </w:rPr>
        <w:t>Mitra Wancana Media.</w:t>
      </w:r>
    </w:p>
    <w:p w14:paraId="6A033C44"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Ramli, R. (2019). </w:t>
      </w:r>
      <w:r w:rsidRPr="00311CEC">
        <w:rPr>
          <w:rFonts w:ascii="Arial" w:hAnsi="Arial" w:cs="Arial"/>
          <w:i/>
          <w:iCs/>
          <w:noProof/>
        </w:rPr>
        <w:t>Bongkar Kecurangan Penyaluran Beras BNPT, Buwas Sebut Negara Rugi RP 5 Triliun</w:t>
      </w:r>
      <w:r w:rsidRPr="00311CEC">
        <w:rPr>
          <w:rFonts w:ascii="Arial" w:hAnsi="Arial" w:cs="Arial"/>
          <w:noProof/>
        </w:rPr>
        <w:t xml:space="preserve">. </w:t>
      </w:r>
      <w:r w:rsidRPr="00311CEC">
        <w:rPr>
          <w:rFonts w:ascii="Arial" w:hAnsi="Arial" w:cs="Arial"/>
          <w:i/>
          <w:color w:val="000000"/>
        </w:rPr>
        <w:t xml:space="preserve">Dikutip dari </w:t>
      </w:r>
      <w:r w:rsidRPr="00311CEC">
        <w:rPr>
          <w:rFonts w:ascii="Arial" w:hAnsi="Arial" w:cs="Arial"/>
          <w:noProof/>
        </w:rPr>
        <w:t>https://www.inews.id/finance/makro/bongkar-kecurangan-penyaluran-beras-bpnt-buwas-sebut-negara-rugi-rp5-triliun</w:t>
      </w:r>
    </w:p>
    <w:p w14:paraId="192BF1F8"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Reding, K. R., Sobel, P. J., &amp; Anderson, U. L. (2013). </w:t>
      </w:r>
      <w:r w:rsidRPr="00311CEC">
        <w:rPr>
          <w:rFonts w:ascii="Arial" w:hAnsi="Arial" w:cs="Arial"/>
          <w:i/>
          <w:iCs/>
          <w:noProof/>
        </w:rPr>
        <w:t>Internal Auditing: Assurance &amp; Advisory Services.</w:t>
      </w:r>
      <w:r w:rsidRPr="00311CEC">
        <w:rPr>
          <w:rFonts w:ascii="Arial" w:hAnsi="Arial" w:cs="Arial"/>
          <w:noProof/>
        </w:rPr>
        <w:t xml:space="preserve"> (Third Edition). </w:t>
      </w:r>
      <w:r w:rsidRPr="00311CEC">
        <w:rPr>
          <w:rFonts w:ascii="Arial" w:eastAsia="Times New Roman" w:hAnsi="Arial" w:cs="Arial"/>
          <w:i/>
          <w:color w:val="000000"/>
          <w:spacing w:val="5"/>
          <w:lang w:eastAsia="id-ID"/>
        </w:rPr>
        <w:t>Unites Stated Of America</w:t>
      </w:r>
      <w:r w:rsidRPr="00311CEC">
        <w:rPr>
          <w:rFonts w:ascii="Arial" w:eastAsia="Times New Roman" w:hAnsi="Arial" w:cs="Arial"/>
          <w:color w:val="000000"/>
          <w:spacing w:val="5"/>
          <w:lang w:eastAsia="id-ID"/>
        </w:rPr>
        <w:t xml:space="preserve">: </w:t>
      </w:r>
      <w:r w:rsidRPr="00311CEC">
        <w:rPr>
          <w:rFonts w:ascii="Arial" w:hAnsi="Arial" w:cs="Arial"/>
          <w:noProof/>
        </w:rPr>
        <w:t>The Institute of Internal Auditors ResearchFoundation (IIARF).</w:t>
      </w:r>
    </w:p>
    <w:p w14:paraId="45EE74D6"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Sawyer, L. B., A, D. M., &amp; Scheiner James H. (2012). </w:t>
      </w:r>
      <w:r w:rsidRPr="00311CEC">
        <w:rPr>
          <w:rFonts w:ascii="Arial" w:hAnsi="Arial" w:cs="Arial"/>
          <w:i/>
          <w:iCs/>
          <w:noProof/>
        </w:rPr>
        <w:t>Internal Auditing</w:t>
      </w:r>
      <w:r w:rsidRPr="00311CEC">
        <w:rPr>
          <w:rFonts w:ascii="Arial" w:hAnsi="Arial" w:cs="Arial"/>
          <w:noProof/>
        </w:rPr>
        <w:t xml:space="preserve"> (Jilid 1, Edisi 5). </w:t>
      </w:r>
      <w:r w:rsidRPr="00311CEC">
        <w:rPr>
          <w:rFonts w:ascii="Arial" w:hAnsi="Arial" w:cs="Arial"/>
          <w:color w:val="000000"/>
        </w:rPr>
        <w:t xml:space="preserve">Diterjemahkan oleh </w:t>
      </w:r>
      <w:r w:rsidRPr="00311CEC">
        <w:rPr>
          <w:rFonts w:ascii="Arial" w:hAnsi="Arial" w:cs="Arial"/>
          <w:i/>
          <w:iCs/>
          <w:color w:val="000000"/>
        </w:rPr>
        <w:t xml:space="preserve">: </w:t>
      </w:r>
      <w:r w:rsidRPr="00311CEC">
        <w:rPr>
          <w:rFonts w:ascii="Arial" w:hAnsi="Arial" w:cs="Arial"/>
          <w:color w:val="000000"/>
        </w:rPr>
        <w:t xml:space="preserve">Desi Adhariani. Jakarta : </w:t>
      </w:r>
      <w:r w:rsidRPr="00311CEC">
        <w:rPr>
          <w:rFonts w:ascii="Arial" w:hAnsi="Arial" w:cs="Arial"/>
          <w:noProof/>
        </w:rPr>
        <w:t>Salemba Empat.</w:t>
      </w:r>
    </w:p>
    <w:p w14:paraId="680502FE"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Srimulyani, A. D., &amp; Ismatullah, I. (2017). Pengaruh Audit Internal Dalam Pencegahan Kecurangan Kas Pada PDAM Tirta Bumi Wibawa Kota Sukabumi. </w:t>
      </w:r>
      <w:r w:rsidRPr="00311CEC">
        <w:rPr>
          <w:rFonts w:ascii="Arial" w:hAnsi="Arial" w:cs="Arial"/>
          <w:i/>
          <w:iCs/>
          <w:noProof/>
        </w:rPr>
        <w:t>Jurnal Ilmiah Ekonomi</w:t>
      </w:r>
      <w:r w:rsidRPr="00311CEC">
        <w:rPr>
          <w:rFonts w:ascii="Arial" w:hAnsi="Arial" w:cs="Arial"/>
          <w:noProof/>
        </w:rPr>
        <w:t xml:space="preserve">, </w:t>
      </w:r>
      <w:r w:rsidRPr="00311CEC">
        <w:rPr>
          <w:rFonts w:ascii="Arial" w:hAnsi="Arial" w:cs="Arial"/>
          <w:i/>
          <w:iCs/>
          <w:noProof/>
        </w:rPr>
        <w:t xml:space="preserve">Vol. 5 </w:t>
      </w:r>
      <w:r w:rsidRPr="00311CEC">
        <w:rPr>
          <w:rFonts w:ascii="Arial" w:hAnsi="Arial" w:cs="Arial"/>
          <w:noProof/>
        </w:rPr>
        <w:t>(Edisi 10, Mar 2017), ISSN 20886969. Universitas Muhammadiyah Sukabumi.</w:t>
      </w:r>
    </w:p>
    <w:p w14:paraId="2350AE88"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Suginam. (2017). Pengaruh Peran Audit Internal dan Pengendalian Intern Terhadap </w:t>
      </w:r>
      <w:r w:rsidRPr="00311CEC">
        <w:rPr>
          <w:rFonts w:ascii="Arial" w:hAnsi="Arial" w:cs="Arial"/>
          <w:noProof/>
        </w:rPr>
        <w:lastRenderedPageBreak/>
        <w:t xml:space="preserve">Pencegahan Fraud. </w:t>
      </w:r>
      <w:r w:rsidRPr="00311CEC">
        <w:rPr>
          <w:rFonts w:ascii="Arial" w:hAnsi="Arial" w:cs="Arial"/>
          <w:i/>
          <w:iCs/>
          <w:noProof/>
        </w:rPr>
        <w:t>Riset &amp; Jurnal Akuntansi</w:t>
      </w:r>
      <w:r w:rsidRPr="00311CEC">
        <w:rPr>
          <w:rFonts w:ascii="Arial" w:hAnsi="Arial" w:cs="Arial"/>
          <w:noProof/>
        </w:rPr>
        <w:t xml:space="preserve">, </w:t>
      </w:r>
      <w:r w:rsidRPr="00311CEC">
        <w:rPr>
          <w:rFonts w:ascii="Arial" w:hAnsi="Arial" w:cs="Arial"/>
          <w:i/>
          <w:iCs/>
          <w:noProof/>
        </w:rPr>
        <w:t xml:space="preserve">Volume 1 </w:t>
      </w:r>
      <w:r w:rsidRPr="00311CEC">
        <w:rPr>
          <w:rFonts w:ascii="Arial" w:hAnsi="Arial" w:cs="Arial"/>
          <w:noProof/>
        </w:rPr>
        <w:t>(Nomor 1, Februari 2017), ISSN : 2548-9224, p-ISSN : 2548-7507. STMIK Budi Darma.</w:t>
      </w:r>
    </w:p>
    <w:p w14:paraId="69444C3A"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color w:val="000000"/>
        </w:rPr>
        <w:t>The Institute of Internal Auditors (IIA)</w:t>
      </w:r>
      <w:r w:rsidRPr="00311CEC">
        <w:rPr>
          <w:rFonts w:ascii="Arial" w:hAnsi="Arial" w:cs="Arial"/>
          <w:noProof/>
        </w:rPr>
        <w:t xml:space="preserve">. (2017). </w:t>
      </w:r>
      <w:r w:rsidRPr="00311CEC">
        <w:rPr>
          <w:rFonts w:ascii="Arial" w:hAnsi="Arial" w:cs="Arial"/>
          <w:i/>
          <w:iCs/>
          <w:noProof/>
        </w:rPr>
        <w:t>Standar Internasional Praktik Profesional Audit Internal</w:t>
      </w:r>
      <w:r w:rsidRPr="00311CEC">
        <w:rPr>
          <w:rFonts w:ascii="Arial" w:hAnsi="Arial" w:cs="Arial"/>
          <w:noProof/>
        </w:rPr>
        <w:t xml:space="preserve">. </w:t>
      </w:r>
      <w:r w:rsidRPr="00311CEC">
        <w:rPr>
          <w:rFonts w:ascii="Arial" w:hAnsi="Arial" w:cs="Arial"/>
          <w:color w:val="000000"/>
        </w:rPr>
        <w:t xml:space="preserve">Jakarta : </w:t>
      </w:r>
      <w:r w:rsidRPr="00311CEC">
        <w:rPr>
          <w:rFonts w:ascii="Arial" w:hAnsi="Arial" w:cs="Arial"/>
          <w:noProof/>
        </w:rPr>
        <w:t>The Institute of Internal Auditors.</w:t>
      </w:r>
    </w:p>
    <w:p w14:paraId="7C2D4F71" w14:textId="77777777" w:rsidR="00630B20" w:rsidRPr="00311CEC" w:rsidRDefault="00630B20" w:rsidP="00311CEC">
      <w:pPr>
        <w:autoSpaceDE w:val="0"/>
        <w:autoSpaceDN w:val="0"/>
        <w:adjustRightInd w:val="0"/>
        <w:ind w:left="480" w:hanging="480"/>
        <w:jc w:val="both"/>
        <w:rPr>
          <w:rFonts w:ascii="Arial" w:hAnsi="Arial" w:cs="Arial"/>
          <w:noProof/>
        </w:rPr>
      </w:pPr>
      <w:r w:rsidRPr="00311CEC">
        <w:rPr>
          <w:rFonts w:ascii="Arial" w:hAnsi="Arial" w:cs="Arial"/>
          <w:noProof/>
        </w:rPr>
        <w:t xml:space="preserve">Tugiman, H. (2014). </w:t>
      </w:r>
      <w:r w:rsidRPr="00311CEC">
        <w:rPr>
          <w:rFonts w:ascii="Arial" w:hAnsi="Arial" w:cs="Arial"/>
          <w:i/>
          <w:iCs/>
          <w:noProof/>
        </w:rPr>
        <w:t>Standar Profesional Audit Internal</w:t>
      </w:r>
      <w:r w:rsidRPr="00311CEC">
        <w:rPr>
          <w:rFonts w:ascii="Arial" w:hAnsi="Arial" w:cs="Arial"/>
          <w:noProof/>
        </w:rPr>
        <w:t xml:space="preserve">. </w:t>
      </w:r>
      <w:r w:rsidRPr="00311CEC">
        <w:rPr>
          <w:rFonts w:ascii="Arial" w:hAnsi="Arial" w:cs="Arial"/>
          <w:color w:val="000000"/>
        </w:rPr>
        <w:t xml:space="preserve">Yogyakarta : </w:t>
      </w:r>
      <w:r w:rsidRPr="00311CEC">
        <w:rPr>
          <w:rFonts w:ascii="Arial" w:hAnsi="Arial" w:cs="Arial"/>
          <w:noProof/>
        </w:rPr>
        <w:t>Kanisius.</w:t>
      </w:r>
    </w:p>
    <w:p w14:paraId="714DA459" w14:textId="77777777" w:rsidR="00630B20" w:rsidRPr="00311CEC" w:rsidRDefault="00630B20" w:rsidP="00311CEC">
      <w:pPr>
        <w:jc w:val="both"/>
        <w:rPr>
          <w:rFonts w:ascii="Arial" w:hAnsi="Arial" w:cs="Arial"/>
          <w:b/>
        </w:rPr>
      </w:pPr>
      <w:r w:rsidRPr="00311CEC">
        <w:rPr>
          <w:rFonts w:ascii="Arial" w:hAnsi="Arial" w:cs="Arial"/>
          <w:b/>
        </w:rPr>
        <w:fldChar w:fldCharType="end"/>
      </w:r>
    </w:p>
    <w:p w14:paraId="35AF624B" w14:textId="77777777" w:rsidR="000C15C0" w:rsidRPr="00311CEC" w:rsidRDefault="000C15C0" w:rsidP="00311CEC">
      <w:pPr>
        <w:rPr>
          <w:rFonts w:ascii="Arial" w:hAnsi="Arial" w:cs="Arial"/>
        </w:rPr>
      </w:pPr>
    </w:p>
    <w:sectPr w:rsidR="000C15C0" w:rsidRPr="00311CEC" w:rsidSect="00311CEC">
      <w:headerReference w:type="default" r:id="rId11"/>
      <w:footerReference w:type="default" r:id="rId12"/>
      <w:pgSz w:w="11910" w:h="16840"/>
      <w:pgMar w:top="3232" w:right="1701" w:bottom="1985" w:left="1701" w:header="697" w:footer="1667" w:gutter="0"/>
      <w:pgNumType w:start="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5DDE" w14:textId="77777777" w:rsidR="0080560B" w:rsidRDefault="0080560B">
      <w:r>
        <w:separator/>
      </w:r>
    </w:p>
  </w:endnote>
  <w:endnote w:type="continuationSeparator" w:id="0">
    <w:p w14:paraId="6A6D1DF5" w14:textId="77777777" w:rsidR="0080560B" w:rsidRDefault="0080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E335" w14:textId="6B79215F" w:rsidR="00630B20" w:rsidRDefault="00311CEC" w:rsidP="00630B20">
    <w:pPr>
      <w:pStyle w:val="BodyText"/>
      <w:spacing w:line="14" w:lineRule="auto"/>
      <w:ind w:left="0"/>
      <w:rPr>
        <w:sz w:val="20"/>
      </w:rPr>
    </w:pPr>
    <w:r>
      <w:rPr>
        <w:noProof/>
      </w:rPr>
      <mc:AlternateContent>
        <mc:Choice Requires="wps">
          <w:drawing>
            <wp:anchor distT="0" distB="0" distL="114300" distR="114300" simplePos="0" relativeHeight="251666432" behindDoc="1" locked="0" layoutInCell="1" allowOverlap="1" wp14:anchorId="2A363999" wp14:editId="1C9A8927">
              <wp:simplePos x="0" y="0"/>
              <wp:positionH relativeFrom="page">
                <wp:posOffset>1239520</wp:posOffset>
              </wp:positionH>
              <wp:positionV relativeFrom="bottomMargin">
                <wp:posOffset>74393</wp:posOffset>
              </wp:positionV>
              <wp:extent cx="5081759" cy="314960"/>
              <wp:effectExtent l="0" t="0" r="508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759"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8A8D3" w14:textId="22EE3452" w:rsidR="00630B20" w:rsidRPr="00311CEC" w:rsidRDefault="00630B20" w:rsidP="00630B20">
                          <w:pPr>
                            <w:spacing w:before="13"/>
                            <w:ind w:left="6" w:right="7"/>
                            <w:jc w:val="center"/>
                            <w:rPr>
                              <w:sz w:val="20"/>
                              <w:lang w:val="en-US"/>
                            </w:rPr>
                          </w:pPr>
                          <w:r>
                            <w:rPr>
                              <w:sz w:val="20"/>
                            </w:rPr>
                            <w:t>Submitted:</w:t>
                          </w:r>
                          <w:r w:rsidR="00311CEC">
                            <w:rPr>
                              <w:sz w:val="20"/>
                              <w:lang w:val="en-US"/>
                            </w:rPr>
                            <w:t xml:space="preserve"> December 5, 2022</w:t>
                          </w:r>
                          <w:r>
                            <w:rPr>
                              <w:sz w:val="20"/>
                            </w:rPr>
                            <w:t>;</w:t>
                          </w:r>
                          <w:r>
                            <w:rPr>
                              <w:spacing w:val="-1"/>
                              <w:sz w:val="20"/>
                            </w:rPr>
                            <w:t xml:space="preserve"> </w:t>
                          </w:r>
                          <w:r>
                            <w:rPr>
                              <w:sz w:val="20"/>
                            </w:rPr>
                            <w:t>Accepted</w:t>
                          </w:r>
                          <w:r w:rsidR="00311CEC">
                            <w:rPr>
                              <w:sz w:val="20"/>
                              <w:lang w:val="en-US"/>
                            </w:rPr>
                            <w:t>: April 26, 2023;</w:t>
                          </w:r>
                        </w:p>
                        <w:p w14:paraId="70A17A0B" w14:textId="445EE55A" w:rsidR="00630B20" w:rsidRDefault="00630B20" w:rsidP="00630B20">
                          <w:pPr>
                            <w:spacing w:before="2"/>
                            <w:ind w:left="7" w:right="7"/>
                            <w:jc w:val="center"/>
                            <w:rPr>
                              <w:sz w:val="20"/>
                            </w:rPr>
                          </w:pPr>
                          <w:r>
                            <w:rPr>
                              <w:sz w:val="20"/>
                            </w:rPr>
                            <w:t>Published:</w:t>
                          </w:r>
                          <w:r w:rsidR="00311CEC">
                            <w:rPr>
                              <w:sz w:val="20"/>
                              <w:lang w:val="en-US"/>
                            </w:rPr>
                            <w:t xml:space="preserve"> April </w:t>
                          </w:r>
                          <w:r w:rsidR="007555F7">
                            <w:rPr>
                              <w:sz w:val="20"/>
                              <w:lang w:val="en-US"/>
                            </w:rPr>
                            <w:t>30</w:t>
                          </w:r>
                          <w:r w:rsidR="00311CEC">
                            <w:rPr>
                              <w:sz w:val="20"/>
                              <w:lang w:val="en-US"/>
                            </w:rPr>
                            <w:t>, 2023</w:t>
                          </w:r>
                          <w:r>
                            <w:rPr>
                              <w:sz w:val="20"/>
                            </w:rPr>
                            <w:t>;</w:t>
                          </w:r>
                          <w:r>
                            <w:rPr>
                              <w:spacing w:val="-4"/>
                              <w:sz w:val="20"/>
                            </w:rPr>
                            <w:t xml:space="preserve"> </w:t>
                          </w:r>
                          <w:r>
                            <w:rPr>
                              <w:sz w:val="20"/>
                            </w:rPr>
                            <w:t>Website:</w:t>
                          </w:r>
                          <w:r>
                            <w:rPr>
                              <w:spacing w:val="-7"/>
                              <w:sz w:val="20"/>
                            </w:rPr>
                            <w:t xml:space="preserve"> </w:t>
                          </w:r>
                          <w:hyperlink r:id="rId1">
                            <w:r>
                              <w:rPr>
                                <w:sz w:val="20"/>
                              </w:rPr>
                              <w:t>http://journalfeb.unla.ac.id/index.php/jasa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63999" id="_x0000_t202" coordsize="21600,21600" o:spt="202" path="m,l,21600r21600,l21600,xe">
              <v:stroke joinstyle="miter"/>
              <v:path gradientshapeok="t" o:connecttype="rect"/>
            </v:shapetype>
            <v:shape id="Text Box 6" o:spid="_x0000_s1027" type="#_x0000_t202" style="position:absolute;margin-left:97.6pt;margin-top:5.85pt;width:400.15pt;height:24.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" filled="f" stroked="f">
              <v:textbox inset="0,0,0,0">
                <w:txbxContent>
                  <w:p w14:paraId="58E8A8D3" w14:textId="22EE3452" w:rsidR="00630B20" w:rsidRPr="00311CEC" w:rsidRDefault="00630B20" w:rsidP="00630B20">
                    <w:pPr>
                      <w:spacing w:before="13"/>
                      <w:ind w:left="6" w:right="7"/>
                      <w:jc w:val="center"/>
                      <w:rPr>
                        <w:sz w:val="20"/>
                        <w:lang w:val="en-US"/>
                      </w:rPr>
                    </w:pPr>
                    <w:r>
                      <w:rPr>
                        <w:sz w:val="20"/>
                      </w:rPr>
                      <w:t>Submitted:</w:t>
                    </w:r>
                    <w:r w:rsidR="00311CEC">
                      <w:rPr>
                        <w:sz w:val="20"/>
                        <w:lang w:val="en-US"/>
                      </w:rPr>
                      <w:t xml:space="preserve"> December 5, 2022</w:t>
                    </w:r>
                    <w:r>
                      <w:rPr>
                        <w:sz w:val="20"/>
                      </w:rPr>
                      <w:t>;</w:t>
                    </w:r>
                    <w:r>
                      <w:rPr>
                        <w:spacing w:val="-1"/>
                        <w:sz w:val="20"/>
                      </w:rPr>
                      <w:t xml:space="preserve"> </w:t>
                    </w:r>
                    <w:r>
                      <w:rPr>
                        <w:sz w:val="20"/>
                      </w:rPr>
                      <w:t>Accepted</w:t>
                    </w:r>
                    <w:r w:rsidR="00311CEC">
                      <w:rPr>
                        <w:sz w:val="20"/>
                        <w:lang w:val="en-US"/>
                      </w:rPr>
                      <w:t>: April 26, 2023;</w:t>
                    </w:r>
                  </w:p>
                  <w:p w14:paraId="70A17A0B" w14:textId="445EE55A" w:rsidR="00630B20" w:rsidRDefault="00630B20" w:rsidP="00630B20">
                    <w:pPr>
                      <w:spacing w:before="2"/>
                      <w:ind w:left="7" w:right="7"/>
                      <w:jc w:val="center"/>
                      <w:rPr>
                        <w:sz w:val="20"/>
                      </w:rPr>
                    </w:pPr>
                    <w:r>
                      <w:rPr>
                        <w:sz w:val="20"/>
                      </w:rPr>
                      <w:t>Published:</w:t>
                    </w:r>
                    <w:r w:rsidR="00311CEC">
                      <w:rPr>
                        <w:sz w:val="20"/>
                        <w:lang w:val="en-US"/>
                      </w:rPr>
                      <w:t xml:space="preserve"> April </w:t>
                    </w:r>
                    <w:r w:rsidR="007555F7">
                      <w:rPr>
                        <w:sz w:val="20"/>
                        <w:lang w:val="en-US"/>
                      </w:rPr>
                      <w:t>30</w:t>
                    </w:r>
                    <w:r w:rsidR="00311CEC">
                      <w:rPr>
                        <w:sz w:val="20"/>
                        <w:lang w:val="en-US"/>
                      </w:rPr>
                      <w:t>, 2023</w:t>
                    </w:r>
                    <w:r>
                      <w:rPr>
                        <w:sz w:val="20"/>
                      </w:rPr>
                      <w:t>;</w:t>
                    </w:r>
                    <w:r>
                      <w:rPr>
                        <w:spacing w:val="-4"/>
                        <w:sz w:val="20"/>
                      </w:rPr>
                      <w:t xml:space="preserve"> </w:t>
                    </w:r>
                    <w:r>
                      <w:rPr>
                        <w:sz w:val="20"/>
                      </w:rPr>
                      <w:t>Website:</w:t>
                    </w:r>
                    <w:r>
                      <w:rPr>
                        <w:spacing w:val="-7"/>
                        <w:sz w:val="20"/>
                      </w:rPr>
                      <w:t xml:space="preserve"> </w:t>
                    </w:r>
                    <w:hyperlink r:id="rId2">
                      <w:r>
                        <w:rPr>
                          <w:sz w:val="20"/>
                        </w:rPr>
                        <w:t>http://journalfeb.unla.ac.id/index.php/jasa</w:t>
                      </w:r>
                    </w:hyperlink>
                  </w:p>
                </w:txbxContent>
              </v:textbox>
              <w10:wrap anchorx="page" anchory="margin"/>
            </v:shape>
          </w:pict>
        </mc:Fallback>
      </mc:AlternateContent>
    </w:r>
    <w:r w:rsidR="00630B20">
      <w:rPr>
        <w:noProof/>
      </w:rPr>
      <mc:AlternateContent>
        <mc:Choice Requires="wps">
          <w:drawing>
            <wp:anchor distT="0" distB="0" distL="114300" distR="114300" simplePos="0" relativeHeight="251667456" behindDoc="1" locked="0" layoutInCell="1" allowOverlap="1" wp14:anchorId="69EE3CB2" wp14:editId="739B6DB3">
              <wp:simplePos x="0" y="0"/>
              <wp:positionH relativeFrom="page">
                <wp:posOffset>6372224</wp:posOffset>
              </wp:positionH>
              <wp:positionV relativeFrom="page">
                <wp:posOffset>9791700</wp:posOffset>
              </wp:positionV>
              <wp:extent cx="238125" cy="167640"/>
              <wp:effectExtent l="0" t="0" r="952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85AB9" w14:textId="77777777" w:rsidR="00630B20" w:rsidRDefault="00630B20" w:rsidP="00630B20">
                          <w:pPr>
                            <w:spacing w:before="13"/>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E3CB2" id="Text Box 4" o:spid="_x0000_s1028" type="#_x0000_t202" style="position:absolute;margin-left:501.75pt;margin-top:771pt;width:18.75pt;height:13.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" filled="f" stroked="f">
              <v:textbox inset="0,0,0,0">
                <w:txbxContent>
                  <w:p w14:paraId="4CC85AB9" w14:textId="77777777" w:rsidR="00630B20" w:rsidRDefault="00630B20" w:rsidP="00630B20">
                    <w:pPr>
                      <w:spacing w:before="13"/>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r w:rsidR="00630B20">
      <w:rPr>
        <w:noProof/>
      </w:rPr>
      <mc:AlternateContent>
        <mc:Choice Requires="wps">
          <w:drawing>
            <wp:anchor distT="0" distB="0" distL="114300" distR="114300" simplePos="0" relativeHeight="251665408" behindDoc="1" locked="0" layoutInCell="1" allowOverlap="1" wp14:anchorId="2CCC6197" wp14:editId="09BAB734">
              <wp:simplePos x="0" y="0"/>
              <wp:positionH relativeFrom="page">
                <wp:posOffset>1075690</wp:posOffset>
              </wp:positionH>
              <wp:positionV relativeFrom="page">
                <wp:posOffset>9472295</wp:posOffset>
              </wp:positionV>
              <wp:extent cx="53905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1C373"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745.85pt" to="509.15pt,7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" strokeweight="2.25pt">
              <w10:wrap anchorx="page" anchory="page"/>
            </v:line>
          </w:pict>
        </mc:Fallback>
      </mc:AlternateContent>
    </w:r>
  </w:p>
  <w:p w14:paraId="0C375ACB" w14:textId="77777777" w:rsidR="000C15C0" w:rsidRDefault="00AE6008">
    <w:pPr>
      <w:pBdr>
        <w:top w:val="nil"/>
        <w:left w:val="nil"/>
        <w:bottom w:val="nil"/>
        <w:right w:val="nil"/>
        <w:between w:val="nil"/>
      </w:pBdr>
      <w:spacing w:line="14" w:lineRule="auto"/>
      <w:rPr>
        <w:color w:val="000000"/>
        <w:sz w:val="20"/>
        <w:szCs w:val="20"/>
      </w:rPr>
    </w:pPr>
    <w:r>
      <w:rPr>
        <w:noProof/>
        <w:lang w:val="en-US"/>
      </w:rPr>
      <mc:AlternateContent>
        <mc:Choice Requires="wps">
          <w:drawing>
            <wp:anchor distT="0" distB="0" distL="0" distR="0" simplePos="0" relativeHeight="251661312" behindDoc="1" locked="0" layoutInCell="1" hidden="0" allowOverlap="1" wp14:anchorId="557FF6C2" wp14:editId="292A6571">
              <wp:simplePos x="0" y="0"/>
              <wp:positionH relativeFrom="column">
                <wp:posOffset>50800</wp:posOffset>
              </wp:positionH>
              <wp:positionV relativeFrom="paragraph">
                <wp:posOffset>9448800</wp:posOffset>
              </wp:positionV>
              <wp:extent cx="0" cy="28575"/>
              <wp:effectExtent l="0" t="0" r="0" b="0"/>
              <wp:wrapNone/>
              <wp:docPr id="20" name="Straight Arrow Connector 20"/>
              <wp:cNvGraphicFramePr/>
              <a:graphic xmlns:a="http://schemas.openxmlformats.org/drawingml/2006/main">
                <a:graphicData uri="http://schemas.microsoft.com/office/word/2010/wordprocessingShape">
                  <wps:wsp>
                    <wps:cNvCnPr/>
                    <wps:spPr>
                      <a:xfrm>
                        <a:off x="2650743" y="3780000"/>
                        <a:ext cx="5390515"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50800</wp:posOffset>
              </wp:positionH>
              <wp:positionV relativeFrom="paragraph">
                <wp:posOffset>9448800</wp:posOffset>
              </wp:positionV>
              <wp:extent cx="0" cy="28575"/>
              <wp:effectExtent b="0" l="0" r="0" t="0"/>
              <wp:wrapNone/>
              <wp:docPr id="20"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0" cy="28575"/>
                      </a:xfrm>
                      <a:prstGeom prst="rect"/>
                      <a:ln/>
                    </pic:spPr>
                  </pic:pic>
                </a:graphicData>
              </a:graphic>
            </wp:anchor>
          </w:drawing>
        </mc:Fallback>
      </mc:AlternateContent>
    </w:r>
    <w:r>
      <w:rPr>
        <w:noProof/>
        <w:lang w:val="en-US"/>
      </w:rPr>
      <mc:AlternateContent>
        <mc:Choice Requires="wps">
          <w:drawing>
            <wp:anchor distT="0" distB="0" distL="0" distR="0" simplePos="0" relativeHeight="251662336" behindDoc="1" locked="0" layoutInCell="1" hidden="0" allowOverlap="1" wp14:anchorId="5A826848" wp14:editId="57E76FE4">
              <wp:simplePos x="0" y="0"/>
              <wp:positionH relativeFrom="column">
                <wp:posOffset>977900</wp:posOffset>
              </wp:positionH>
              <wp:positionV relativeFrom="paragraph">
                <wp:posOffset>9486900</wp:posOffset>
              </wp:positionV>
              <wp:extent cx="3573780" cy="324485"/>
              <wp:effectExtent l="0" t="0" r="0" b="0"/>
              <wp:wrapNone/>
              <wp:docPr id="21" name="Rectangle 21"/>
              <wp:cNvGraphicFramePr/>
              <a:graphic xmlns:a="http://schemas.openxmlformats.org/drawingml/2006/main">
                <a:graphicData uri="http://schemas.microsoft.com/office/word/2010/wordprocessingShape">
                  <wps:wsp>
                    <wps:cNvSpPr/>
                    <wps:spPr>
                      <a:xfrm>
                        <a:off x="3563873" y="3622520"/>
                        <a:ext cx="3564255" cy="314960"/>
                      </a:xfrm>
                      <a:prstGeom prst="rect">
                        <a:avLst/>
                      </a:prstGeom>
                      <a:noFill/>
                      <a:ln>
                        <a:noFill/>
                      </a:ln>
                    </wps:spPr>
                    <wps:txbx>
                      <w:txbxContent>
                        <w:p w14:paraId="7C2663AD" w14:textId="77777777" w:rsidR="000C15C0" w:rsidRDefault="00AE6008">
                          <w:pPr>
                            <w:spacing w:before="12"/>
                            <w:ind w:left="6" w:right="6" w:firstLine="6"/>
                            <w:jc w:val="center"/>
                            <w:textDirection w:val="btLr"/>
                          </w:pPr>
                          <w:r>
                            <w:rPr>
                              <w:color w:val="000000"/>
                              <w:sz w:val="20"/>
                            </w:rPr>
                            <w:t>Submitted:; Revised;; Accepted;</w:t>
                          </w:r>
                        </w:p>
                        <w:p w14:paraId="67CAD6B6" w14:textId="77777777" w:rsidR="000C15C0" w:rsidRDefault="00AE6008">
                          <w:pPr>
                            <w:spacing w:before="2"/>
                            <w:ind w:left="6" w:right="6" w:firstLine="6"/>
                            <w:jc w:val="center"/>
                            <w:textDirection w:val="btLr"/>
                          </w:pPr>
                          <w:r>
                            <w:rPr>
                              <w:color w:val="000000"/>
                              <w:sz w:val="20"/>
                            </w:rPr>
                            <w:t>Published: ; Website: http://journalfeb.unla.ac.id/index.php/jasa</w:t>
                          </w:r>
                        </w:p>
                      </w:txbxContent>
                    </wps:txbx>
                    <wps:bodyPr spcFirstLastPara="1" wrap="square" lIns="0" tIns="0" rIns="0" bIns="0" anchor="t" anchorCtr="0">
                      <a:noAutofit/>
                    </wps:bodyPr>
                  </wps:wsp>
                </a:graphicData>
              </a:graphic>
            </wp:anchor>
          </w:drawing>
        </mc:Choice>
        <mc:Fallback>
          <w:pict>
            <v:rect w14:anchorId="5A826848" id="Rectangle 21" o:spid="_x0000_s1029" style="position:absolute;margin-left:77pt;margin-top:747pt;width:281.4pt;height:25.5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" filled="f" stroked="f">
              <v:textbox inset="0,0,0,0">
                <w:txbxContent>
                  <w:p w14:paraId="7C2663AD" w14:textId="77777777" w:rsidR="000C15C0" w:rsidRDefault="00AE6008">
                    <w:pPr>
                      <w:spacing w:before="12"/>
                      <w:ind w:left="6" w:right="6" w:firstLine="6"/>
                      <w:jc w:val="center"/>
                      <w:textDirection w:val="btLr"/>
                    </w:pPr>
                    <w:r>
                      <w:rPr>
                        <w:color w:val="000000"/>
                        <w:sz w:val="20"/>
                      </w:rPr>
                      <w:t>Submitted:; Revised;; Accepted;</w:t>
                    </w:r>
                  </w:p>
                  <w:p w14:paraId="67CAD6B6" w14:textId="77777777" w:rsidR="000C15C0" w:rsidRDefault="00AE6008">
                    <w:pPr>
                      <w:spacing w:before="2"/>
                      <w:ind w:left="6" w:right="6" w:firstLine="6"/>
                      <w:jc w:val="center"/>
                      <w:textDirection w:val="btLr"/>
                    </w:pPr>
                    <w:r>
                      <w:rPr>
                        <w:color w:val="000000"/>
                        <w:sz w:val="20"/>
                      </w:rPr>
                      <w:t>Published: ; Website: http://journalfeb.unla.ac.id/index.php/jasa</w:t>
                    </w:r>
                  </w:p>
                </w:txbxContent>
              </v:textbox>
            </v:rect>
          </w:pict>
        </mc:Fallback>
      </mc:AlternateContent>
    </w:r>
    <w:r>
      <w:rPr>
        <w:noProof/>
        <w:lang w:val="en-US"/>
      </w:rPr>
      <mc:AlternateContent>
        <mc:Choice Requires="wps">
          <w:drawing>
            <wp:anchor distT="0" distB="0" distL="0" distR="0" simplePos="0" relativeHeight="251663360" behindDoc="1" locked="0" layoutInCell="1" hidden="0" allowOverlap="1" wp14:anchorId="64BC6095" wp14:editId="29D21D68">
              <wp:simplePos x="0" y="0"/>
              <wp:positionH relativeFrom="column">
                <wp:posOffset>5346700</wp:posOffset>
              </wp:positionH>
              <wp:positionV relativeFrom="paragraph">
                <wp:posOffset>9779000</wp:posOffset>
              </wp:positionV>
              <wp:extent cx="156845" cy="177165"/>
              <wp:effectExtent l="0" t="0" r="0" b="0"/>
              <wp:wrapNone/>
              <wp:docPr id="17" name="Rectangle 17"/>
              <wp:cNvGraphicFramePr/>
              <a:graphic xmlns:a="http://schemas.openxmlformats.org/drawingml/2006/main">
                <a:graphicData uri="http://schemas.microsoft.com/office/word/2010/wordprocessingShape">
                  <wps:wsp>
                    <wps:cNvSpPr/>
                    <wps:spPr>
                      <a:xfrm>
                        <a:off x="5272340" y="3696180"/>
                        <a:ext cx="147320" cy="167640"/>
                      </a:xfrm>
                      <a:prstGeom prst="rect">
                        <a:avLst/>
                      </a:prstGeom>
                      <a:noFill/>
                      <a:ln>
                        <a:noFill/>
                      </a:ln>
                    </wps:spPr>
                    <wps:txbx>
                      <w:txbxContent>
                        <w:p w14:paraId="583F736A" w14:textId="77777777" w:rsidR="000C15C0" w:rsidRDefault="00AE6008">
                          <w:pPr>
                            <w:spacing w:before="12"/>
                            <w:ind w:left="60" w:firstLine="60"/>
                            <w:textDirection w:val="btLr"/>
                          </w:pPr>
                          <w:r>
                            <w:rPr>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64BC6095" id="Rectangle 17" o:spid="_x0000_s1030" style="position:absolute;margin-left:421pt;margin-top:770pt;width:12.35pt;height:13.9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" filled="f" stroked="f">
              <v:textbox inset="0,0,0,0">
                <w:txbxContent>
                  <w:p w14:paraId="583F736A" w14:textId="77777777" w:rsidR="000C15C0" w:rsidRDefault="00AE6008">
                    <w:pPr>
                      <w:spacing w:before="12"/>
                      <w:ind w:left="60" w:firstLine="60"/>
                      <w:textDirection w:val="btLr"/>
                    </w:pPr>
                    <w:r>
                      <w:rPr>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0271" w14:textId="77777777" w:rsidR="0080560B" w:rsidRDefault="0080560B">
      <w:r>
        <w:separator/>
      </w:r>
    </w:p>
  </w:footnote>
  <w:footnote w:type="continuationSeparator" w:id="0">
    <w:p w14:paraId="42DEA87A" w14:textId="77777777" w:rsidR="0080560B" w:rsidRDefault="0080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8488" w14:textId="77777777" w:rsidR="000C15C0" w:rsidRDefault="00AE6008">
    <w:pPr>
      <w:pBdr>
        <w:top w:val="nil"/>
        <w:left w:val="nil"/>
        <w:bottom w:val="nil"/>
        <w:right w:val="nil"/>
        <w:between w:val="nil"/>
      </w:pBdr>
      <w:spacing w:line="14" w:lineRule="auto"/>
      <w:rPr>
        <w:color w:val="000000"/>
        <w:sz w:val="20"/>
        <w:szCs w:val="20"/>
      </w:rPr>
    </w:pPr>
    <w:r>
      <w:rPr>
        <w:noProof/>
        <w:color w:val="000000"/>
        <w:lang w:val="en-US"/>
      </w:rPr>
      <w:drawing>
        <wp:anchor distT="0" distB="0" distL="0" distR="0" simplePos="0" relativeHeight="251658240" behindDoc="1" locked="0" layoutInCell="1" hidden="0" allowOverlap="1" wp14:anchorId="5DBA5F83" wp14:editId="51EF101C">
          <wp:simplePos x="0" y="0"/>
          <wp:positionH relativeFrom="page">
            <wp:posOffset>2967354</wp:posOffset>
          </wp:positionH>
          <wp:positionV relativeFrom="page">
            <wp:posOffset>441033</wp:posOffset>
          </wp:positionV>
          <wp:extent cx="1631938" cy="751215"/>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1938" cy="751215"/>
                  </a:xfrm>
                  <a:prstGeom prst="rect">
                    <a:avLst/>
                  </a:prstGeom>
                  <a:ln/>
                </pic:spPr>
              </pic:pic>
            </a:graphicData>
          </a:graphic>
        </wp:anchor>
      </w:drawing>
    </w:r>
    <w:r>
      <w:rPr>
        <w:noProof/>
        <w:color w:val="000000"/>
        <w:lang w:val="en-US"/>
      </w:rPr>
      <mc:AlternateContent>
        <mc:Choice Requires="wpg">
          <w:drawing>
            <wp:anchor distT="0" distB="0" distL="0" distR="0" simplePos="0" relativeHeight="251659264" behindDoc="1" locked="0" layoutInCell="1" hidden="0" allowOverlap="1" wp14:anchorId="5B49F51C" wp14:editId="3F4D2570">
              <wp:simplePos x="0" y="0"/>
              <wp:positionH relativeFrom="page">
                <wp:posOffset>1074103</wp:posOffset>
              </wp:positionH>
              <wp:positionV relativeFrom="page">
                <wp:posOffset>1989773</wp:posOffset>
              </wp:positionV>
              <wp:extent cx="5594350" cy="60325"/>
              <wp:effectExtent l="0" t="0" r="0" b="0"/>
              <wp:wrapNone/>
              <wp:docPr id="19" name="Freeform 19"/>
              <wp:cNvGraphicFramePr/>
              <a:graphic xmlns:a="http://schemas.openxmlformats.org/drawingml/2006/main">
                <a:graphicData uri="http://schemas.microsoft.com/office/word/2010/wordprocessingShape">
                  <wps:wsp>
                    <wps:cNvSpPr/>
                    <wps:spPr>
                      <a:xfrm>
                        <a:off x="2553588" y="3754600"/>
                        <a:ext cx="5584825" cy="50800"/>
                      </a:xfrm>
                      <a:custGeom>
                        <a:avLst/>
                        <a:gdLst/>
                        <a:ahLst/>
                        <a:cxnLst/>
                        <a:rect l="l" t="t" r="r" b="b"/>
                        <a:pathLst>
                          <a:path w="8795" h="80" extrusionOk="0">
                            <a:moveTo>
                              <a:pt x="32" y="15"/>
                            </a:moveTo>
                            <a:lnTo>
                              <a:pt x="19" y="17"/>
                            </a:lnTo>
                            <a:lnTo>
                              <a:pt x="9" y="24"/>
                            </a:lnTo>
                            <a:lnTo>
                              <a:pt x="2" y="35"/>
                            </a:lnTo>
                            <a:lnTo>
                              <a:pt x="0" y="47"/>
                            </a:lnTo>
                            <a:lnTo>
                              <a:pt x="2" y="60"/>
                            </a:lnTo>
                            <a:lnTo>
                              <a:pt x="9" y="70"/>
                            </a:lnTo>
                            <a:lnTo>
                              <a:pt x="19" y="77"/>
                            </a:lnTo>
                            <a:lnTo>
                              <a:pt x="32" y="80"/>
                            </a:lnTo>
                            <a:lnTo>
                              <a:pt x="32" y="15"/>
                            </a:lnTo>
                            <a:close/>
                            <a:moveTo>
                              <a:pt x="8762" y="26"/>
                            </a:moveTo>
                            <a:lnTo>
                              <a:pt x="32" y="41"/>
                            </a:lnTo>
                            <a:lnTo>
                              <a:pt x="32" y="80"/>
                            </a:lnTo>
                            <a:lnTo>
                              <a:pt x="8762" y="65"/>
                            </a:lnTo>
                            <a:lnTo>
                              <a:pt x="8762" y="26"/>
                            </a:lnTo>
                            <a:close/>
                            <a:moveTo>
                              <a:pt x="8762" y="0"/>
                            </a:moveTo>
                            <a:lnTo>
                              <a:pt x="8762" y="65"/>
                            </a:lnTo>
                            <a:lnTo>
                              <a:pt x="8775" y="62"/>
                            </a:lnTo>
                            <a:lnTo>
                              <a:pt x="8785" y="55"/>
                            </a:lnTo>
                            <a:lnTo>
                              <a:pt x="8792" y="45"/>
                            </a:lnTo>
                            <a:lnTo>
                              <a:pt x="8794" y="32"/>
                            </a:lnTo>
                            <a:lnTo>
                              <a:pt x="8792" y="20"/>
                            </a:lnTo>
                            <a:lnTo>
                              <a:pt x="8785" y="9"/>
                            </a:lnTo>
                            <a:lnTo>
                              <a:pt x="8775" y="2"/>
                            </a:lnTo>
                            <a:lnTo>
                              <a:pt x="8762" y="0"/>
                            </a:lnTo>
                            <a:close/>
                            <a:moveTo>
                              <a:pt x="32" y="28"/>
                            </a:moveTo>
                            <a:lnTo>
                              <a:pt x="32" y="28"/>
                            </a:lnTo>
                            <a:close/>
                            <a:moveTo>
                              <a:pt x="8762" y="0"/>
                            </a:moveTo>
                            <a:lnTo>
                              <a:pt x="32" y="15"/>
                            </a:lnTo>
                            <a:lnTo>
                              <a:pt x="32" y="28"/>
                            </a:lnTo>
                            <a:lnTo>
                              <a:pt x="8762" y="13"/>
                            </a:lnTo>
                            <a:lnTo>
                              <a:pt x="8762" y="0"/>
                            </a:lnTo>
                            <a:close/>
                          </a:path>
                        </a:pathLst>
                      </a:custGeom>
                      <a:solidFill>
                        <a:srgbClr val="FFC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1074103</wp:posOffset>
              </wp:positionH>
              <wp:positionV relativeFrom="page">
                <wp:posOffset>1989773</wp:posOffset>
              </wp:positionV>
              <wp:extent cx="5594350" cy="60325"/>
              <wp:effectExtent b="0" l="0" r="0" t="0"/>
              <wp:wrapNone/>
              <wp:docPr id="1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594350" cy="60325"/>
                      </a:xfrm>
                      <a:prstGeom prst="rect"/>
                      <a:ln/>
                    </pic:spPr>
                  </pic:pic>
                </a:graphicData>
              </a:graphic>
            </wp:anchor>
          </w:drawing>
        </mc:Fallback>
      </mc:AlternateContent>
    </w:r>
    <w:r>
      <w:rPr>
        <w:noProof/>
        <w:color w:val="000000"/>
        <w:lang w:val="en-US"/>
      </w:rPr>
      <mc:AlternateContent>
        <mc:Choice Requires="wps">
          <w:drawing>
            <wp:anchor distT="0" distB="0" distL="0" distR="0" simplePos="0" relativeHeight="251660288" behindDoc="1" locked="0" layoutInCell="1" hidden="0" allowOverlap="1" wp14:anchorId="0DA2139B" wp14:editId="1DD6D397">
              <wp:simplePos x="0" y="0"/>
              <wp:positionH relativeFrom="page">
                <wp:posOffset>1847533</wp:posOffset>
              </wp:positionH>
              <wp:positionV relativeFrom="page">
                <wp:posOffset>1345883</wp:posOffset>
              </wp:positionV>
              <wp:extent cx="3866515" cy="614045"/>
              <wp:effectExtent l="0" t="0" r="0" b="0"/>
              <wp:wrapNone/>
              <wp:docPr id="16" name="Rectangle 16"/>
              <wp:cNvGraphicFramePr/>
              <a:graphic xmlns:a="http://schemas.openxmlformats.org/drawingml/2006/main">
                <a:graphicData uri="http://schemas.microsoft.com/office/word/2010/wordprocessingShape">
                  <wps:wsp>
                    <wps:cNvSpPr/>
                    <wps:spPr>
                      <a:xfrm>
                        <a:off x="3417505" y="3477740"/>
                        <a:ext cx="3856990" cy="604520"/>
                      </a:xfrm>
                      <a:prstGeom prst="rect">
                        <a:avLst/>
                      </a:prstGeom>
                      <a:noFill/>
                      <a:ln>
                        <a:noFill/>
                      </a:ln>
                    </wps:spPr>
                    <wps:txbx>
                      <w:txbxContent>
                        <w:p w14:paraId="3D4DFAA7" w14:textId="77777777" w:rsidR="000C15C0" w:rsidRDefault="00AE6008">
                          <w:pPr>
                            <w:spacing w:before="12" w:line="228" w:lineRule="auto"/>
                            <w:ind w:left="10" w:right="10" w:firstLine="10"/>
                            <w:jc w:val="center"/>
                            <w:textDirection w:val="btLr"/>
                          </w:pPr>
                          <w:r>
                            <w:rPr>
                              <w:rFonts w:ascii="Arial" w:eastAsia="Arial" w:hAnsi="Arial" w:cs="Arial"/>
                              <w:b/>
                              <w:color w:val="000000"/>
                              <w:sz w:val="20"/>
                            </w:rPr>
                            <w:t>JASa (Jurnal Akuntansi, Audit dan Sistem Informasi Akuntansi)</w:t>
                          </w:r>
                        </w:p>
                        <w:p w14:paraId="391BF903" w14:textId="7DECE3DD" w:rsidR="00311CEC" w:rsidRPr="00311CEC" w:rsidRDefault="00AE6008" w:rsidP="00311CEC">
                          <w:pPr>
                            <w:spacing w:line="228" w:lineRule="auto"/>
                            <w:ind w:left="8" w:right="10" w:firstLine="8"/>
                            <w:jc w:val="center"/>
                            <w:textDirection w:val="btLr"/>
                            <w:rPr>
                              <w:lang w:val="en-US"/>
                            </w:rPr>
                          </w:pPr>
                          <w:r>
                            <w:rPr>
                              <w:color w:val="000000"/>
                              <w:sz w:val="20"/>
                            </w:rPr>
                            <w:t xml:space="preserve">Vol. </w:t>
                          </w:r>
                          <w:r w:rsidR="00311CEC">
                            <w:rPr>
                              <w:color w:val="000000"/>
                              <w:sz w:val="20"/>
                              <w:lang w:val="en-US"/>
                            </w:rPr>
                            <w:t xml:space="preserve">7 </w:t>
                          </w:r>
                          <w:r>
                            <w:rPr>
                              <w:color w:val="000000"/>
                              <w:sz w:val="20"/>
                            </w:rPr>
                            <w:t xml:space="preserve">No. </w:t>
                          </w:r>
                          <w:r w:rsidR="00311CEC">
                            <w:rPr>
                              <w:color w:val="000000"/>
                              <w:sz w:val="20"/>
                              <w:lang w:val="en-US"/>
                            </w:rPr>
                            <w:t xml:space="preserve">1 </w:t>
                          </w:r>
                          <w:r>
                            <w:rPr>
                              <w:color w:val="000000"/>
                              <w:sz w:val="20"/>
                            </w:rPr>
                            <w:t xml:space="preserve">/ </w:t>
                          </w:r>
                          <w:r w:rsidR="00311CEC">
                            <w:rPr>
                              <w:color w:val="000000"/>
                              <w:sz w:val="20"/>
                              <w:lang w:val="en-US"/>
                            </w:rPr>
                            <w:t>April 2023</w:t>
                          </w:r>
                        </w:p>
                        <w:p w14:paraId="2B5DED0D" w14:textId="77777777" w:rsidR="00311CEC" w:rsidRDefault="00AE6008" w:rsidP="00311CEC">
                          <w:pPr>
                            <w:spacing w:line="228" w:lineRule="auto"/>
                            <w:ind w:left="8" w:right="10" w:firstLine="8"/>
                            <w:jc w:val="center"/>
                            <w:textDirection w:val="btLr"/>
                            <w:rPr>
                              <w:color w:val="000000"/>
                              <w:sz w:val="20"/>
                            </w:rPr>
                          </w:pPr>
                          <w:r>
                            <w:rPr>
                              <w:color w:val="000000"/>
                              <w:sz w:val="20"/>
                            </w:rPr>
                            <w:t xml:space="preserve">ISSN 2550-0732 print / ISSN 2655-8319 online </w:t>
                          </w:r>
                        </w:p>
                        <w:p w14:paraId="50AEB9BE" w14:textId="3115715D" w:rsidR="000C15C0" w:rsidRPr="00311CEC" w:rsidRDefault="00AE6008" w:rsidP="00311CEC">
                          <w:pPr>
                            <w:spacing w:line="228" w:lineRule="auto"/>
                            <w:ind w:left="8" w:right="10" w:firstLine="8"/>
                            <w:jc w:val="center"/>
                            <w:textDirection w:val="btLr"/>
                            <w:rPr>
                              <w:lang w:val="en-US"/>
                            </w:rPr>
                          </w:pPr>
                          <w:r>
                            <w:rPr>
                              <w:color w:val="000000"/>
                              <w:sz w:val="20"/>
                            </w:rPr>
                            <w:t>DOI;10.36555</w:t>
                          </w:r>
                          <w:r w:rsidR="00311CEC">
                            <w:rPr>
                              <w:color w:val="000000"/>
                              <w:sz w:val="20"/>
                              <w:lang w:val="en-US"/>
                            </w:rPr>
                            <w:t>/jasa.v7i1.1997</w:t>
                          </w:r>
                        </w:p>
                      </w:txbxContent>
                    </wps:txbx>
                    <wps:bodyPr spcFirstLastPara="1" wrap="square" lIns="0" tIns="0" rIns="0" bIns="0" anchor="t" anchorCtr="0">
                      <a:noAutofit/>
                    </wps:bodyPr>
                  </wps:wsp>
                </a:graphicData>
              </a:graphic>
            </wp:anchor>
          </w:drawing>
        </mc:Choice>
        <mc:Fallback>
          <w:pict>
            <v:rect w14:anchorId="0DA2139B" id="Rectangle 16" o:spid="_x0000_s1026" style="position:absolute;margin-left:145.5pt;margin-top:106pt;width:304.45pt;height:48.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" filled="f" stroked="f">
              <v:textbox inset="0,0,0,0">
                <w:txbxContent>
                  <w:p w14:paraId="3D4DFAA7" w14:textId="77777777" w:rsidR="000C15C0" w:rsidRDefault="00AE6008">
                    <w:pPr>
                      <w:spacing w:before="12" w:line="228" w:lineRule="auto"/>
                      <w:ind w:left="10" w:right="10" w:firstLine="10"/>
                      <w:jc w:val="center"/>
                      <w:textDirection w:val="btLr"/>
                    </w:pPr>
                    <w:r>
                      <w:rPr>
                        <w:rFonts w:ascii="Arial" w:eastAsia="Arial" w:hAnsi="Arial" w:cs="Arial"/>
                        <w:b/>
                        <w:color w:val="000000"/>
                        <w:sz w:val="20"/>
                      </w:rPr>
                      <w:t>JASa (Jurnal Akuntansi, Audit dan Sistem Informasi Akuntansi)</w:t>
                    </w:r>
                  </w:p>
                  <w:p w14:paraId="391BF903" w14:textId="7DECE3DD" w:rsidR="00311CEC" w:rsidRPr="00311CEC" w:rsidRDefault="00AE6008" w:rsidP="00311CEC">
                    <w:pPr>
                      <w:spacing w:line="228" w:lineRule="auto"/>
                      <w:ind w:left="8" w:right="10" w:firstLine="8"/>
                      <w:jc w:val="center"/>
                      <w:textDirection w:val="btLr"/>
                      <w:rPr>
                        <w:lang w:val="en-US"/>
                      </w:rPr>
                    </w:pPr>
                    <w:r>
                      <w:rPr>
                        <w:color w:val="000000"/>
                        <w:sz w:val="20"/>
                      </w:rPr>
                      <w:t xml:space="preserve">Vol. </w:t>
                    </w:r>
                    <w:r w:rsidR="00311CEC">
                      <w:rPr>
                        <w:color w:val="000000"/>
                        <w:sz w:val="20"/>
                        <w:lang w:val="en-US"/>
                      </w:rPr>
                      <w:t xml:space="preserve">7 </w:t>
                    </w:r>
                    <w:r>
                      <w:rPr>
                        <w:color w:val="000000"/>
                        <w:sz w:val="20"/>
                      </w:rPr>
                      <w:t xml:space="preserve">No. </w:t>
                    </w:r>
                    <w:r w:rsidR="00311CEC">
                      <w:rPr>
                        <w:color w:val="000000"/>
                        <w:sz w:val="20"/>
                        <w:lang w:val="en-US"/>
                      </w:rPr>
                      <w:t xml:space="preserve">1 </w:t>
                    </w:r>
                    <w:r>
                      <w:rPr>
                        <w:color w:val="000000"/>
                        <w:sz w:val="20"/>
                      </w:rPr>
                      <w:t xml:space="preserve">/ </w:t>
                    </w:r>
                    <w:r w:rsidR="00311CEC">
                      <w:rPr>
                        <w:color w:val="000000"/>
                        <w:sz w:val="20"/>
                        <w:lang w:val="en-US"/>
                      </w:rPr>
                      <w:t>April 2023</w:t>
                    </w:r>
                  </w:p>
                  <w:p w14:paraId="2B5DED0D" w14:textId="77777777" w:rsidR="00311CEC" w:rsidRDefault="00AE6008" w:rsidP="00311CEC">
                    <w:pPr>
                      <w:spacing w:line="228" w:lineRule="auto"/>
                      <w:ind w:left="8" w:right="10" w:firstLine="8"/>
                      <w:jc w:val="center"/>
                      <w:textDirection w:val="btLr"/>
                      <w:rPr>
                        <w:color w:val="000000"/>
                        <w:sz w:val="20"/>
                      </w:rPr>
                    </w:pPr>
                    <w:r>
                      <w:rPr>
                        <w:color w:val="000000"/>
                        <w:sz w:val="20"/>
                      </w:rPr>
                      <w:t xml:space="preserve">ISSN 2550-0732 print / ISSN 2655-8319 online </w:t>
                    </w:r>
                  </w:p>
                  <w:p w14:paraId="50AEB9BE" w14:textId="3115715D" w:rsidR="000C15C0" w:rsidRPr="00311CEC" w:rsidRDefault="00AE6008" w:rsidP="00311CEC">
                    <w:pPr>
                      <w:spacing w:line="228" w:lineRule="auto"/>
                      <w:ind w:left="8" w:right="10" w:firstLine="8"/>
                      <w:jc w:val="center"/>
                      <w:textDirection w:val="btLr"/>
                      <w:rPr>
                        <w:lang w:val="en-US"/>
                      </w:rPr>
                    </w:pPr>
                    <w:r>
                      <w:rPr>
                        <w:color w:val="000000"/>
                        <w:sz w:val="20"/>
                      </w:rPr>
                      <w:t>DOI;10.36555</w:t>
                    </w:r>
                    <w:r w:rsidR="00311CEC">
                      <w:rPr>
                        <w:color w:val="000000"/>
                        <w:sz w:val="20"/>
                        <w:lang w:val="en-US"/>
                      </w:rPr>
                      <w:t>/jasa.v7i1.1997</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AA6"/>
    <w:multiLevelType w:val="multilevel"/>
    <w:tmpl w:val="BBA654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30BD7"/>
    <w:multiLevelType w:val="hybridMultilevel"/>
    <w:tmpl w:val="BD0AE2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AA86E65"/>
    <w:multiLevelType w:val="hybridMultilevel"/>
    <w:tmpl w:val="EAAC4B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5C111F3"/>
    <w:multiLevelType w:val="hybridMultilevel"/>
    <w:tmpl w:val="78BE8F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75647239">
    <w:abstractNumId w:val="0"/>
  </w:num>
  <w:num w:numId="2" w16cid:durableId="472600597">
    <w:abstractNumId w:val="1"/>
  </w:num>
  <w:num w:numId="3" w16cid:durableId="154952881">
    <w:abstractNumId w:val="3"/>
  </w:num>
  <w:num w:numId="4" w16cid:durableId="445392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C0"/>
    <w:rsid w:val="00077954"/>
    <w:rsid w:val="000C15C0"/>
    <w:rsid w:val="00311CEC"/>
    <w:rsid w:val="005C6268"/>
    <w:rsid w:val="00630B20"/>
    <w:rsid w:val="007555F7"/>
    <w:rsid w:val="0080560B"/>
    <w:rsid w:val="00975D58"/>
    <w:rsid w:val="00AA7F0F"/>
    <w:rsid w:val="00AE6008"/>
    <w:rsid w:val="00C461AA"/>
    <w:rsid w:val="00E80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784EE"/>
  <w15:docId w15:val="{2CAF9D02-71C3-456C-9167-094BF316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45" w:right="965"/>
      <w:jc w:val="center"/>
      <w:outlineLvl w:val="0"/>
    </w:pPr>
    <w:rPr>
      <w:rFonts w:ascii="Arial" w:eastAsia="Arial" w:hAnsi="Arial" w:cs="Arial"/>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53C9"/>
    <w:pPr>
      <w:keepNext/>
      <w:keepLines/>
      <w:widowControl/>
      <w:spacing w:before="480" w:after="120" w:line="259" w:lineRule="auto"/>
    </w:pPr>
    <w:rPr>
      <w:rFonts w:ascii="Calibri" w:eastAsia="Calibri" w:hAnsi="Calibri" w:cs="Calibri"/>
      <w:b/>
      <w:sz w:val="72"/>
      <w:szCs w:val="72"/>
      <w:lang w:val="en-US"/>
    </w:rPr>
  </w:style>
  <w:style w:type="paragraph" w:styleId="BodyText">
    <w:name w:val="Body Text"/>
    <w:basedOn w:val="Normal"/>
    <w:uiPriority w:val="1"/>
    <w:qFormat/>
    <w:pPr>
      <w:ind w:left="100"/>
    </w:pPr>
  </w:style>
  <w:style w:type="paragraph" w:styleId="ListParagraph">
    <w:name w:val="List Paragraph"/>
    <w:aliases w:val="skripsi,spasi 2 taiiii,Body Text Char1,Char Char2,List Paragraph2,List Paragraph1,gambar,Body of text,SUMBER,anak bab,kepala,Char Char21,Medium Grid 1 - Accent 21,List Paragraph11,List Paragraph111,Colorful List - Accent 11,tabel,Text"/>
    <w:basedOn w:val="Normal"/>
    <w:link w:val="ListParagraphChar"/>
    <w:qFormat/>
    <w:pPr>
      <w:spacing w:line="268" w:lineRule="exact"/>
      <w:ind w:left="117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1BEF"/>
    <w:rPr>
      <w:color w:val="0000FF" w:themeColor="hyperlink"/>
      <w:u w:val="single"/>
    </w:rPr>
  </w:style>
  <w:style w:type="character" w:customStyle="1" w:styleId="UnresolvedMention1">
    <w:name w:val="Unresolved Mention1"/>
    <w:basedOn w:val="DefaultParagraphFont"/>
    <w:uiPriority w:val="99"/>
    <w:semiHidden/>
    <w:unhideWhenUsed/>
    <w:rsid w:val="00F81BEF"/>
    <w:rPr>
      <w:color w:val="605E5C"/>
      <w:shd w:val="clear" w:color="auto" w:fill="E1DFDD"/>
    </w:rPr>
  </w:style>
  <w:style w:type="character" w:customStyle="1" w:styleId="TitleChar">
    <w:name w:val="Title Char"/>
    <w:basedOn w:val="DefaultParagraphFont"/>
    <w:link w:val="Title"/>
    <w:uiPriority w:val="10"/>
    <w:rsid w:val="002353C9"/>
    <w:rPr>
      <w:rFonts w:ascii="Calibri" w:eastAsia="Calibri" w:hAnsi="Calibri" w:cs="Calibri"/>
      <w:b/>
      <w:sz w:val="72"/>
      <w:szCs w:val="72"/>
    </w:rPr>
  </w:style>
  <w:style w:type="paragraph" w:styleId="BalloonText">
    <w:name w:val="Balloon Text"/>
    <w:basedOn w:val="Normal"/>
    <w:link w:val="BalloonTextChar"/>
    <w:uiPriority w:val="99"/>
    <w:semiHidden/>
    <w:unhideWhenUsed/>
    <w:rsid w:val="00641F07"/>
    <w:rPr>
      <w:rFonts w:ascii="Tahoma" w:hAnsi="Tahoma" w:cs="Tahoma"/>
      <w:sz w:val="16"/>
      <w:szCs w:val="16"/>
    </w:rPr>
  </w:style>
  <w:style w:type="character" w:customStyle="1" w:styleId="BalloonTextChar">
    <w:name w:val="Balloon Text Char"/>
    <w:basedOn w:val="DefaultParagraphFont"/>
    <w:link w:val="BalloonText"/>
    <w:uiPriority w:val="99"/>
    <w:semiHidden/>
    <w:rsid w:val="00641F07"/>
    <w:rPr>
      <w:rFonts w:ascii="Tahoma" w:eastAsia="Arial MT" w:hAnsi="Tahoma" w:cs="Tahoma"/>
      <w:sz w:val="16"/>
      <w:szCs w:val="16"/>
      <w:lang w:val="id"/>
    </w:rPr>
  </w:style>
  <w:style w:type="character" w:customStyle="1" w:styleId="sw">
    <w:name w:val="sw"/>
    <w:basedOn w:val="DefaultParagraphFont"/>
    <w:rsid w:val="0050334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Default">
    <w:name w:val="Default"/>
    <w:rsid w:val="00630B20"/>
    <w:pPr>
      <w:widowControl/>
      <w:autoSpaceDE w:val="0"/>
      <w:autoSpaceDN w:val="0"/>
      <w:adjustRightInd w:val="0"/>
    </w:pPr>
    <w:rPr>
      <w:rFonts w:ascii="Times New Roman" w:eastAsia="Calibri" w:hAnsi="Times New Roman" w:cs="Times New Roman"/>
      <w:color w:val="000000"/>
      <w:sz w:val="24"/>
      <w:szCs w:val="24"/>
      <w:lang w:val="id-ID"/>
    </w:rPr>
  </w:style>
  <w:style w:type="character" w:customStyle="1" w:styleId="ListParagraphChar">
    <w:name w:val="List Paragraph Char"/>
    <w:aliases w:val="skripsi Char,spasi 2 taiiii Char,Body Text Char1 Char,Char Char2 Char,List Paragraph2 Char,List Paragraph1 Char,gambar Char,Body of text Char,SUMBER Char,anak bab Char,kepala Char,Char Char21 Char,Medium Grid 1 - Accent 21 Char"/>
    <w:link w:val="ListParagraph"/>
    <w:qFormat/>
    <w:locked/>
    <w:rsid w:val="00630B20"/>
  </w:style>
  <w:style w:type="character" w:styleId="Emphasis">
    <w:name w:val="Emphasis"/>
    <w:uiPriority w:val="20"/>
    <w:qFormat/>
    <w:rsid w:val="00630B20"/>
    <w:rPr>
      <w:i/>
      <w:iCs/>
    </w:rPr>
  </w:style>
  <w:style w:type="paragraph" w:styleId="Header">
    <w:name w:val="header"/>
    <w:basedOn w:val="Normal"/>
    <w:link w:val="HeaderChar"/>
    <w:uiPriority w:val="99"/>
    <w:unhideWhenUsed/>
    <w:rsid w:val="00630B20"/>
    <w:pPr>
      <w:tabs>
        <w:tab w:val="center" w:pos="4513"/>
        <w:tab w:val="right" w:pos="9026"/>
      </w:tabs>
    </w:pPr>
  </w:style>
  <w:style w:type="character" w:customStyle="1" w:styleId="HeaderChar">
    <w:name w:val="Header Char"/>
    <w:basedOn w:val="DefaultParagraphFont"/>
    <w:link w:val="Header"/>
    <w:uiPriority w:val="99"/>
    <w:rsid w:val="00630B20"/>
  </w:style>
  <w:style w:type="paragraph" w:styleId="Footer">
    <w:name w:val="footer"/>
    <w:basedOn w:val="Normal"/>
    <w:link w:val="FooterChar"/>
    <w:uiPriority w:val="99"/>
    <w:unhideWhenUsed/>
    <w:rsid w:val="00630B20"/>
    <w:pPr>
      <w:tabs>
        <w:tab w:val="center" w:pos="4513"/>
        <w:tab w:val="right" w:pos="9026"/>
      </w:tabs>
    </w:pPr>
  </w:style>
  <w:style w:type="character" w:customStyle="1" w:styleId="FooterChar">
    <w:name w:val="Footer Char"/>
    <w:basedOn w:val="DefaultParagraphFont"/>
    <w:link w:val="Footer"/>
    <w:uiPriority w:val="99"/>
    <w:rsid w:val="00630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yulirahay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journalfeb.unla.ac.id/index.php/jasa" TargetMode="External"/><Relationship Id="rId1" Type="http://schemas.openxmlformats.org/officeDocument/2006/relationships/hyperlink" Target="http://journalfeb.unla.ac.id/index.php/jas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24137809153599449"/>
          <c:y val="0.19326201780192176"/>
          <c:w val="0.73194335434758795"/>
          <c:h val="0.73274691444240692"/>
        </c:manualLayout>
      </c:layout>
      <c:barChart>
        <c:barDir val="bar"/>
        <c:grouping val="clustered"/>
        <c:varyColors val="0"/>
        <c:ser>
          <c:idx val="0"/>
          <c:order val="0"/>
          <c:tx>
            <c:strRef>
              <c:f>Sheet1!$B$1</c:f>
              <c:strCache>
                <c:ptCount val="1"/>
                <c:pt idx="0">
                  <c:v>Type of Organization/Institution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Government</c:v>
                </c:pt>
                <c:pt idx="1">
                  <c:v>State-Owned Enterprises</c:v>
                </c:pt>
                <c:pt idx="2">
                  <c:v>Private companies</c:v>
                </c:pt>
                <c:pt idx="3">
                  <c:v>Other</c:v>
                </c:pt>
                <c:pt idx="4">
                  <c:v>Non-Profit Organizations/Institutions</c:v>
                </c:pt>
              </c:strCache>
            </c:strRef>
          </c:cat>
          <c:val>
            <c:numRef>
              <c:f>Sheet1!$B$2:$B$6</c:f>
              <c:numCache>
                <c:formatCode>0.00%</c:formatCode>
                <c:ptCount val="5"/>
                <c:pt idx="0">
                  <c:v>0.81200000000000006</c:v>
                </c:pt>
                <c:pt idx="1">
                  <c:v>8.1000000000000003E-2</c:v>
                </c:pt>
                <c:pt idx="2">
                  <c:v>7.1999999999999995E-2</c:v>
                </c:pt>
                <c:pt idx="3">
                  <c:v>2.1999999999999999E-2</c:v>
                </c:pt>
                <c:pt idx="4">
                  <c:v>1.2999999999999999E-2</c:v>
                </c:pt>
              </c:numCache>
            </c:numRef>
          </c:val>
          <c:extLst>
            <c:ext xmlns:c16="http://schemas.microsoft.com/office/drawing/2014/chart" uri="{C3380CC4-5D6E-409C-BE32-E72D297353CC}">
              <c16:uniqueId val="{00000000-F7E8-40C1-84DE-D55F5CB51CCC}"/>
            </c:ext>
          </c:extLst>
        </c:ser>
        <c:dLbls>
          <c:showLegendKey val="0"/>
          <c:showVal val="0"/>
          <c:showCatName val="0"/>
          <c:showSerName val="0"/>
          <c:showPercent val="0"/>
          <c:showBubbleSize val="0"/>
        </c:dLbls>
        <c:gapWidth val="150"/>
        <c:axId val="1064485439"/>
        <c:axId val="1"/>
      </c:barChart>
      <c:catAx>
        <c:axId val="1064485439"/>
        <c:scaling>
          <c:orientation val="maxMin"/>
        </c:scaling>
        <c:delete val="0"/>
        <c:axPos val="l"/>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t"/>
        <c:majorGridlines/>
        <c:numFmt formatCode="0.00%" sourceLinked="1"/>
        <c:majorTickMark val="out"/>
        <c:minorTickMark val="none"/>
        <c:tickLblPos val="nextTo"/>
        <c:crossAx val="1064485439"/>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24137809153599449"/>
          <c:y val="0.19326201780192176"/>
          <c:w val="0.73194335434758795"/>
          <c:h val="0.78031326390223976"/>
        </c:manualLayout>
      </c:layout>
      <c:barChart>
        <c:barDir val="bar"/>
        <c:grouping val="clustered"/>
        <c:varyColors val="0"/>
        <c:ser>
          <c:idx val="0"/>
          <c:order val="0"/>
          <c:tx>
            <c:strRef>
              <c:f>Sheet1!$B$1</c:f>
              <c:strCache>
                <c:ptCount val="1"/>
                <c:pt idx="0">
                  <c:v>Media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Report</c:v>
                </c:pt>
                <c:pt idx="1">
                  <c:v>External Audit</c:v>
                </c:pt>
                <c:pt idx="2">
                  <c:v>Internal Audit</c:v>
                </c:pt>
                <c:pt idx="3">
                  <c:v>Document Check</c:v>
                </c:pt>
                <c:pt idx="4">
                  <c:v>Other</c:v>
                </c:pt>
                <c:pt idx="5">
                  <c:v>Observation &amp; Monitoring</c:v>
                </c:pt>
                <c:pt idx="6">
                  <c:v>Reconciliation of accounts</c:v>
                </c:pt>
                <c:pt idx="7">
                  <c:v>Law enforcement</c:v>
                </c:pt>
                <c:pt idx="8">
                  <c:v>Management Review</c:v>
                </c:pt>
                <c:pt idx="9">
                  <c:v>Confession</c:v>
                </c:pt>
                <c:pt idx="10">
                  <c:v>bad luck</c:v>
                </c:pt>
                <c:pt idx="11">
                  <c:v>Supervision by IT</c:v>
                </c:pt>
              </c:strCache>
            </c:strRef>
          </c:cat>
          <c:val>
            <c:numRef>
              <c:f>Sheet1!$B$2:$B$13</c:f>
              <c:numCache>
                <c:formatCode>0.00%</c:formatCode>
                <c:ptCount val="12"/>
                <c:pt idx="0">
                  <c:v>0.37</c:v>
                </c:pt>
                <c:pt idx="1">
                  <c:v>0.16500000000000001</c:v>
                </c:pt>
                <c:pt idx="2">
                  <c:v>0.13500000000000001</c:v>
                </c:pt>
                <c:pt idx="3">
                  <c:v>0.109</c:v>
                </c:pt>
                <c:pt idx="4">
                  <c:v>7.0000000000000007E-2</c:v>
                </c:pt>
                <c:pt idx="5">
                  <c:v>4.2999999999999997E-2</c:v>
                </c:pt>
                <c:pt idx="6">
                  <c:v>3.9E-2</c:v>
                </c:pt>
                <c:pt idx="7">
                  <c:v>3.5000000000000003E-2</c:v>
                </c:pt>
                <c:pt idx="8">
                  <c:v>1.7000000000000001E-2</c:v>
                </c:pt>
                <c:pt idx="9">
                  <c:v>8.9999999999999993E-3</c:v>
                </c:pt>
                <c:pt idx="10">
                  <c:v>8.9999999999999993E-3</c:v>
                </c:pt>
                <c:pt idx="11">
                  <c:v>0</c:v>
                </c:pt>
              </c:numCache>
            </c:numRef>
          </c:val>
          <c:extLst>
            <c:ext xmlns:c16="http://schemas.microsoft.com/office/drawing/2014/chart" uri="{C3380CC4-5D6E-409C-BE32-E72D297353CC}">
              <c16:uniqueId val="{00000000-10F7-4CFB-BE8A-4680325D573D}"/>
            </c:ext>
          </c:extLst>
        </c:ser>
        <c:dLbls>
          <c:showLegendKey val="0"/>
          <c:showVal val="0"/>
          <c:showCatName val="0"/>
          <c:showSerName val="0"/>
          <c:showPercent val="0"/>
          <c:showBubbleSize val="0"/>
        </c:dLbls>
        <c:gapWidth val="150"/>
        <c:axId val="1064478943"/>
        <c:axId val="1"/>
      </c:barChart>
      <c:catAx>
        <c:axId val="1064478943"/>
        <c:scaling>
          <c:orientation val="maxMin"/>
        </c:scaling>
        <c:delete val="0"/>
        <c:axPos val="l"/>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t"/>
        <c:majorGridlines/>
        <c:numFmt formatCode="0.00%" sourceLinked="1"/>
        <c:majorTickMark val="out"/>
        <c:minorTickMark val="none"/>
        <c:tickLblPos val="nextTo"/>
        <c:crossAx val="1064478943"/>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1+AGQtv9SQztaXx89ib5Lrd4Cg==">AMUW2mXqk92aNkr2gLs6kVCJjpjmtD6VEQjF+F+mTmtNUYDQ3vE03bPPx3OEGGTMxaJw5BLGqborxSUoJzukOZsFnVi7S6n10fMSR/8xpPB2Lmclpj2a8oY7ROwCF+aJMWElFH0iaYZMoICtkBVjoieQG06Cnf4pCc1hTTQUTamDknFOnbh1s99ciwPWn3UTsmJ8eFbiyErXfpDNTxYxGsYYerF73zeQSonIEujutYXVDXRJVtUtYsCTfIejUgGmiC4nVg20uKGQxvjus6cttfjGPs0sZuW6KyE/pmzmRs+rQOwjv5qaziuR1Z85soMIpoM4SiGG7iByRzK1YQdsnq30f3MJivIX0YLLSnOY4LQnF/bbzJNmgoHUBjw1ohNMYTYkU2g4PCn7DvwDYcdKoJShejXBqzf8xR2gxDWJZWdUao/jnZPT9YpA6C4hPcGu1157bZMf41zMmt7VRS3zxwCaUuduana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7214</Words>
  <Characters>41124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anisa pramestisifa</cp:lastModifiedBy>
  <cp:revision>5</cp:revision>
  <dcterms:created xsi:type="dcterms:W3CDTF">2023-04-05T04:18:00Z</dcterms:created>
  <dcterms:modified xsi:type="dcterms:W3CDTF">2023-05-01T01:38:00Z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2019</vt:lpwstr>
  </property>
  <property fmtid="{D5CDD505-2E9C-101B-9397-08002B2CF9AE}" pid="4" name="LastSaved">
    <vt:filetime>2022-06-29T00:00:00Z</vt:filetime>
  </property>
  <property fmtid="{D5CDD505-2E9C-101B-9397-08002B2CF9AE}" pid="5" name="Mendeley Document_1">
    <vt:lpwstr>True</vt:lpwstr>
  </property>
  <property fmtid="{D5CDD505-2E9C-101B-9397-08002B2CF9AE}" pid="6" name="Mendeley Unique User Id_1">
    <vt:lpwstr>f80301d3-ca3a-3e50-a04c-4c42faa46733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GrammarlyDocumentId">
    <vt:lpwstr>0ab585e33c6f68cc0f24195e12ed884a9c751119e90e4ebd9c96b78da3d74827</vt:lpwstr>
  </property>
</Properties>
</file>